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27024DE7" w:rsidR="009A4263" w:rsidRPr="009A4263" w:rsidRDefault="009A4263" w:rsidP="009A4263">
      <w:pPr>
        <w:tabs>
          <w:tab w:val="center" w:pos="4536"/>
          <w:tab w:val="right" w:pos="8280"/>
          <w:tab w:val="right" w:pos="9639"/>
        </w:tabs>
        <w:ind w:right="2"/>
        <w:rPr>
          <w:rFonts w:ascii="Arial" w:eastAsia="ＭＳ 明朝" w:hAnsi="Arial"/>
          <w:b/>
          <w:noProof/>
          <w:lang w:val="en-US"/>
        </w:rPr>
      </w:pPr>
      <w:bookmarkStart w:id="0" w:name="OLE_LINK3"/>
      <w:bookmarkStart w:id="1" w:name="_GoBack"/>
      <w:bookmarkEnd w:id="1"/>
      <w:r w:rsidRPr="009A4263">
        <w:rPr>
          <w:rFonts w:ascii="Arial" w:eastAsia="ＭＳ 明朝" w:hAnsi="Arial"/>
          <w:b/>
          <w:noProof/>
          <w:lang w:val="en-US"/>
        </w:rPr>
        <w:t xml:space="preserve">3GPP TSG RAN WG1 </w:t>
      </w:r>
      <w:r w:rsidR="003F1432">
        <w:rPr>
          <w:rFonts w:ascii="Arial" w:eastAsia="ＭＳ 明朝" w:hAnsi="Arial" w:hint="eastAsia"/>
          <w:b/>
          <w:noProof/>
          <w:lang w:val="en-US"/>
        </w:rPr>
        <w:t>#96</w:t>
      </w:r>
      <w:r w:rsidR="003F1432">
        <w:rPr>
          <w:rFonts w:ascii="Arial" w:eastAsia="ＭＳ 明朝" w:hAnsi="Arial" w:hint="eastAsia"/>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w:t>
      </w:r>
      <w:r w:rsidR="00846430">
        <w:rPr>
          <w:rFonts w:ascii="Arial" w:eastAsia="ＭＳ 明朝" w:hAnsi="Arial"/>
          <w:b/>
          <w:noProof/>
          <w:lang w:val="en-US" w:eastAsia="x-none"/>
        </w:rPr>
        <w:t>9</w:t>
      </w:r>
      <w:r w:rsidR="00D17EB3">
        <w:rPr>
          <w:rFonts w:ascii="Arial" w:eastAsia="ＭＳ 明朝" w:hAnsi="Arial"/>
          <w:b/>
          <w:noProof/>
          <w:lang w:val="en-US" w:eastAsia="x-none"/>
        </w:rPr>
        <w:t>0</w:t>
      </w:r>
      <w:r w:rsidR="003F1432">
        <w:rPr>
          <w:rFonts w:ascii="Arial" w:eastAsia="ＭＳ 明朝" w:hAnsi="Arial" w:hint="eastAsia"/>
          <w:b/>
          <w:noProof/>
          <w:lang w:val="en-US"/>
        </w:rPr>
        <w:t>2819</w:t>
      </w:r>
    </w:p>
    <w:p w14:paraId="02716EEC" w14:textId="3D23F1DC" w:rsidR="005F64A2" w:rsidRPr="005F64A2" w:rsidRDefault="003F1432" w:rsidP="005F64A2">
      <w:pPr>
        <w:pStyle w:val="a7"/>
        <w:rPr>
          <w:sz w:val="24"/>
          <w:lang w:val="en-US"/>
        </w:rPr>
      </w:pPr>
      <w:r>
        <w:rPr>
          <w:rFonts w:hint="eastAsia"/>
          <w:sz w:val="24"/>
          <w:lang w:val="en-US" w:eastAsia="ja-JP"/>
        </w:rPr>
        <w:t xml:space="preserve">Athens, Greece, </w:t>
      </w:r>
      <w:r w:rsidR="00625434" w:rsidRPr="0070697C">
        <w:rPr>
          <w:sz w:val="24"/>
          <w:lang w:val="en-US"/>
        </w:rPr>
        <w:t>2</w:t>
      </w:r>
      <w:r>
        <w:rPr>
          <w:rFonts w:hint="eastAsia"/>
          <w:sz w:val="24"/>
          <w:lang w:val="en-US" w:eastAsia="ja-JP"/>
        </w:rPr>
        <w:t>5</w:t>
      </w:r>
      <w:r w:rsidR="00846430">
        <w:rPr>
          <w:sz w:val="24"/>
          <w:lang w:val="en-US"/>
        </w:rPr>
        <w:t>st</w:t>
      </w:r>
      <w:r w:rsidR="00625434" w:rsidRPr="0070697C">
        <w:rPr>
          <w:sz w:val="24"/>
          <w:lang w:val="en-US"/>
        </w:rPr>
        <w:t xml:space="preserve"> </w:t>
      </w:r>
      <w:r>
        <w:rPr>
          <w:rFonts w:hint="eastAsia"/>
          <w:sz w:val="24"/>
          <w:lang w:val="en-US" w:eastAsia="ja-JP"/>
        </w:rPr>
        <w:t xml:space="preserve">February </w:t>
      </w:r>
      <w:r w:rsidR="00625434" w:rsidRPr="0070697C">
        <w:rPr>
          <w:sz w:val="24"/>
          <w:lang w:val="en-US"/>
        </w:rPr>
        <w:t xml:space="preserve">– </w:t>
      </w:r>
      <w:r>
        <w:rPr>
          <w:rFonts w:hint="eastAsia"/>
          <w:sz w:val="24"/>
          <w:lang w:val="en-US" w:eastAsia="ja-JP"/>
        </w:rPr>
        <w:t>1st</w:t>
      </w:r>
      <w:r w:rsidR="00846430">
        <w:rPr>
          <w:sz w:val="24"/>
          <w:lang w:val="en-US"/>
        </w:rPr>
        <w:t xml:space="preserve"> </w:t>
      </w:r>
      <w:r>
        <w:rPr>
          <w:rFonts w:hint="eastAsia"/>
          <w:sz w:val="24"/>
          <w:lang w:val="en-US" w:eastAsia="ja-JP"/>
        </w:rPr>
        <w:t>March</w:t>
      </w:r>
      <w:r w:rsidR="00846430">
        <w:rPr>
          <w:sz w:val="24"/>
          <w:lang w:val="en-US"/>
        </w:rPr>
        <w:t xml:space="preserve">, </w:t>
      </w:r>
      <w:r w:rsidR="00625434" w:rsidRPr="00557A07">
        <w:rPr>
          <w:sz w:val="24"/>
          <w:lang w:val="en-US"/>
        </w:rPr>
        <w:t>201</w:t>
      </w:r>
      <w:r w:rsidR="00846430">
        <w:rPr>
          <w:sz w:val="24"/>
          <w:lang w:val="en-US"/>
        </w:rPr>
        <w:t>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41EAE1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46430">
        <w:rPr>
          <w:sz w:val="24"/>
          <w:lang w:val="en-US" w:eastAsia="ja-JP"/>
        </w:rPr>
        <w:t>Cross-carrier scheduling with different numerologies</w:t>
      </w:r>
    </w:p>
    <w:bookmarkEnd w:id="2"/>
    <w:bookmarkEnd w:id="3"/>
    <w:bookmarkEnd w:id="4"/>
    <w:bookmarkEnd w:id="5"/>
    <w:p w14:paraId="02FF14B3" w14:textId="0CE118E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846430">
        <w:rPr>
          <w:sz w:val="24"/>
          <w:lang w:val="en-US" w:eastAsia="ja-JP"/>
        </w:rPr>
        <w:t>13</w:t>
      </w:r>
      <w:r w:rsidR="00A73A52">
        <w:rPr>
          <w:sz w:val="24"/>
          <w:lang w:val="en-US" w:eastAsia="ja-JP"/>
        </w:rPr>
        <w:t>.</w:t>
      </w:r>
      <w:r w:rsidR="00846430">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4CD5496E" w:rsidR="0036189E" w:rsidRPr="0036189E" w:rsidRDefault="00846430" w:rsidP="00115EAD">
      <w:pPr>
        <w:spacing w:afterLines="50" w:after="120"/>
        <w:jc w:val="both"/>
        <w:rPr>
          <w:rFonts w:eastAsiaTheme="minorEastAsia"/>
          <w:sz w:val="22"/>
        </w:rPr>
      </w:pPr>
      <w:r>
        <w:rPr>
          <w:rFonts w:eastAsiaTheme="minorEastAsia"/>
          <w:sz w:val="22"/>
        </w:rPr>
        <w:t>At the RAN</w:t>
      </w:r>
      <w:r w:rsidR="003F1432">
        <w:rPr>
          <w:rFonts w:eastAsiaTheme="minorEastAsia" w:hint="eastAsia"/>
          <w:sz w:val="22"/>
        </w:rPr>
        <w:t>1 AH</w:t>
      </w:r>
      <w:r>
        <w:rPr>
          <w:rFonts w:eastAsiaTheme="minorEastAsia"/>
          <w:sz w:val="22"/>
        </w:rPr>
        <w:t xml:space="preserve"> </w:t>
      </w:r>
      <w:r w:rsidR="003F1432">
        <w:rPr>
          <w:rFonts w:eastAsiaTheme="minorEastAsia" w:hint="eastAsia"/>
          <w:sz w:val="22"/>
        </w:rPr>
        <w:t xml:space="preserve">1901 </w:t>
      </w:r>
      <w:r>
        <w:rPr>
          <w:rFonts w:eastAsiaTheme="minorEastAsia"/>
          <w:sz w:val="22"/>
        </w:rPr>
        <w:t xml:space="preserve">meeting, </w:t>
      </w:r>
      <w:r w:rsidR="003F1432">
        <w:rPr>
          <w:rFonts w:eastAsiaTheme="minorEastAsia" w:hint="eastAsia"/>
          <w:sz w:val="22"/>
        </w:rPr>
        <w:t>following conclusions have been made regarding cross-carrier scheduling with different numerologies</w:t>
      </w:r>
      <w:r>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846430" w14:paraId="690FEA62" w14:textId="77777777" w:rsidTr="00285500">
        <w:tc>
          <w:tcPr>
            <w:tcW w:w="9967" w:type="dxa"/>
          </w:tcPr>
          <w:p w14:paraId="665873B4" w14:textId="77777777" w:rsidR="003F1432" w:rsidRPr="003F1432" w:rsidRDefault="003F1432" w:rsidP="003F1432">
            <w:pPr>
              <w:snapToGrid w:val="0"/>
              <w:spacing w:after="0"/>
              <w:jc w:val="both"/>
              <w:rPr>
                <w:b/>
                <w:bCs/>
                <w:sz w:val="22"/>
                <w:lang w:val="en-US"/>
              </w:rPr>
            </w:pPr>
            <w:r w:rsidRPr="003F1432">
              <w:rPr>
                <w:b/>
                <w:bCs/>
                <w:sz w:val="22"/>
                <w:lang w:val="en-US"/>
              </w:rPr>
              <w:t>R1-1901458</w:t>
            </w:r>
          </w:p>
          <w:p w14:paraId="6A5BB474" w14:textId="77777777" w:rsidR="003F1432" w:rsidRPr="003F1432" w:rsidRDefault="003F1432" w:rsidP="003F1432">
            <w:pPr>
              <w:snapToGrid w:val="0"/>
              <w:spacing w:after="0"/>
              <w:jc w:val="both"/>
              <w:rPr>
                <w:b/>
                <w:bCs/>
                <w:sz w:val="22"/>
              </w:rPr>
            </w:pPr>
            <w:r w:rsidRPr="003F1432">
              <w:rPr>
                <w:b/>
                <w:bCs/>
                <w:sz w:val="22"/>
                <w:u w:val="single"/>
                <w:lang w:val="en-US"/>
              </w:rPr>
              <w:t>C</w:t>
            </w:r>
            <w:proofErr w:type="spellStart"/>
            <w:r w:rsidRPr="003F1432">
              <w:rPr>
                <w:b/>
                <w:bCs/>
                <w:sz w:val="22"/>
                <w:u w:val="single"/>
              </w:rPr>
              <w:t>onclusion</w:t>
            </w:r>
            <w:proofErr w:type="spellEnd"/>
            <w:r w:rsidRPr="003F1432">
              <w:rPr>
                <w:b/>
                <w:bCs/>
                <w:sz w:val="22"/>
              </w:rPr>
              <w:t>:</w:t>
            </w:r>
          </w:p>
          <w:p w14:paraId="5B26ADD7" w14:textId="77777777" w:rsidR="003F1432" w:rsidRPr="003F1432" w:rsidRDefault="003F1432" w:rsidP="003F1432">
            <w:pPr>
              <w:snapToGrid w:val="0"/>
              <w:spacing w:after="0"/>
              <w:jc w:val="both"/>
              <w:rPr>
                <w:bCs/>
                <w:sz w:val="22"/>
              </w:rPr>
            </w:pPr>
            <w:r w:rsidRPr="003F1432">
              <w:rPr>
                <w:bCs/>
                <w:sz w:val="22"/>
              </w:rPr>
              <w:t>All the following 4 cases can be considered further, while there was yet no consensus if all the cases will be eventually specified. To be discussed further after work on solutions has progressed.</w:t>
            </w:r>
          </w:p>
          <w:p w14:paraId="75E7F9ED" w14:textId="77777777" w:rsidR="003F1432" w:rsidRPr="003F1432" w:rsidRDefault="003F1432" w:rsidP="003F1432">
            <w:pPr>
              <w:numPr>
                <w:ilvl w:val="0"/>
                <w:numId w:val="29"/>
              </w:numPr>
              <w:snapToGrid w:val="0"/>
              <w:spacing w:after="0"/>
              <w:jc w:val="both"/>
              <w:rPr>
                <w:bCs/>
                <w:sz w:val="22"/>
                <w:lang w:val="en-US"/>
              </w:rPr>
            </w:pPr>
            <w:r w:rsidRPr="003F1432">
              <w:rPr>
                <w:bCs/>
                <w:sz w:val="22"/>
                <w:lang w:val="en-US"/>
              </w:rPr>
              <w:t>Support scheduling cell of lower SCS and scheduled cell of higher SCS downlink</w:t>
            </w:r>
          </w:p>
          <w:p w14:paraId="5F6BFDB8" w14:textId="77777777" w:rsidR="003F1432" w:rsidRPr="003F1432" w:rsidRDefault="003F1432" w:rsidP="003F1432">
            <w:pPr>
              <w:numPr>
                <w:ilvl w:val="0"/>
                <w:numId w:val="29"/>
              </w:numPr>
              <w:snapToGrid w:val="0"/>
              <w:spacing w:after="0"/>
              <w:jc w:val="both"/>
              <w:rPr>
                <w:bCs/>
                <w:sz w:val="22"/>
                <w:lang w:val="en-US"/>
              </w:rPr>
            </w:pPr>
            <w:r w:rsidRPr="003F1432">
              <w:rPr>
                <w:bCs/>
                <w:sz w:val="22"/>
                <w:lang w:val="en-US"/>
              </w:rPr>
              <w:t>Support scheduling cell of lower SCS and scheduled cell of higher SCS uplink</w:t>
            </w:r>
          </w:p>
          <w:p w14:paraId="4CF1692A" w14:textId="77777777" w:rsidR="003F1432" w:rsidRPr="003F1432" w:rsidRDefault="003F1432" w:rsidP="003F1432">
            <w:pPr>
              <w:numPr>
                <w:ilvl w:val="0"/>
                <w:numId w:val="29"/>
              </w:numPr>
              <w:snapToGrid w:val="0"/>
              <w:spacing w:after="0"/>
              <w:jc w:val="both"/>
              <w:rPr>
                <w:bCs/>
                <w:sz w:val="22"/>
                <w:lang w:val="en-US"/>
              </w:rPr>
            </w:pPr>
            <w:r w:rsidRPr="003F1432">
              <w:rPr>
                <w:bCs/>
                <w:sz w:val="22"/>
                <w:lang w:val="en-US"/>
              </w:rPr>
              <w:t>Support scheduling cell of higher SCS and scheduled cell of lower SCS downlink</w:t>
            </w:r>
          </w:p>
          <w:p w14:paraId="645C4A9F" w14:textId="77777777" w:rsidR="003F1432" w:rsidRPr="003F1432" w:rsidRDefault="003F1432" w:rsidP="003F1432">
            <w:pPr>
              <w:numPr>
                <w:ilvl w:val="0"/>
                <w:numId w:val="29"/>
              </w:numPr>
              <w:snapToGrid w:val="0"/>
              <w:spacing w:after="0"/>
              <w:jc w:val="both"/>
              <w:rPr>
                <w:bCs/>
                <w:sz w:val="22"/>
                <w:lang w:val="en-US"/>
              </w:rPr>
            </w:pPr>
            <w:r w:rsidRPr="003F1432">
              <w:rPr>
                <w:bCs/>
                <w:sz w:val="22"/>
                <w:lang w:val="en-US"/>
              </w:rPr>
              <w:t>Support scheduling cell of higher SCS and scheduled cell of lower SCS uplink</w:t>
            </w:r>
          </w:p>
          <w:p w14:paraId="43A791D9" w14:textId="77777777" w:rsidR="003F1432" w:rsidRPr="003F1432" w:rsidRDefault="003F1432" w:rsidP="003F1432">
            <w:pPr>
              <w:snapToGrid w:val="0"/>
              <w:spacing w:after="0"/>
              <w:jc w:val="both"/>
              <w:rPr>
                <w:bCs/>
                <w:sz w:val="22"/>
              </w:rPr>
            </w:pPr>
          </w:p>
          <w:p w14:paraId="0E9314BE" w14:textId="77777777" w:rsidR="003F1432" w:rsidRPr="003F1432" w:rsidRDefault="003F1432" w:rsidP="003F1432">
            <w:pPr>
              <w:snapToGrid w:val="0"/>
              <w:spacing w:after="0"/>
              <w:jc w:val="both"/>
              <w:rPr>
                <w:b/>
                <w:bCs/>
                <w:sz w:val="22"/>
              </w:rPr>
            </w:pPr>
            <w:r w:rsidRPr="003F1432">
              <w:rPr>
                <w:b/>
                <w:bCs/>
                <w:sz w:val="22"/>
                <w:u w:val="single"/>
              </w:rPr>
              <w:t>Conclusion</w:t>
            </w:r>
            <w:r w:rsidRPr="003F1432">
              <w:rPr>
                <w:b/>
                <w:bCs/>
                <w:sz w:val="22"/>
              </w:rPr>
              <w:t>:</w:t>
            </w:r>
          </w:p>
          <w:p w14:paraId="3B8F6782" w14:textId="77777777" w:rsidR="003F1432" w:rsidRPr="003F1432" w:rsidRDefault="003F1432" w:rsidP="003F1432">
            <w:pPr>
              <w:snapToGrid w:val="0"/>
              <w:spacing w:after="0"/>
              <w:jc w:val="both"/>
              <w:rPr>
                <w:bCs/>
                <w:sz w:val="22"/>
                <w:lang w:val="en-US"/>
              </w:rPr>
            </w:pPr>
            <w:r w:rsidRPr="003F1432">
              <w:rPr>
                <w:bCs/>
                <w:sz w:val="22"/>
                <w:lang w:val="en-US"/>
              </w:rPr>
              <w:t>Study further at least the following:</w:t>
            </w:r>
          </w:p>
          <w:p w14:paraId="0782BFB2" w14:textId="77777777" w:rsidR="003F1432" w:rsidRPr="003F1432" w:rsidRDefault="003F1432" w:rsidP="003F1432">
            <w:pPr>
              <w:numPr>
                <w:ilvl w:val="0"/>
                <w:numId w:val="30"/>
              </w:numPr>
              <w:snapToGrid w:val="0"/>
              <w:spacing w:after="0"/>
              <w:jc w:val="both"/>
              <w:rPr>
                <w:bCs/>
                <w:sz w:val="22"/>
                <w:lang w:val="en-US"/>
              </w:rPr>
            </w:pPr>
            <w:r w:rsidRPr="003F1432">
              <w:rPr>
                <w:bCs/>
                <w:sz w:val="22"/>
                <w:lang w:val="en-US"/>
              </w:rPr>
              <w:t>Determine the first possible PDSCH starting point based on the timing of the last or first symbol of the scheduling PDCCH.</w:t>
            </w:r>
          </w:p>
          <w:p w14:paraId="3E00BE7F" w14:textId="77777777" w:rsidR="003F1432" w:rsidRPr="003F1432" w:rsidRDefault="003F1432" w:rsidP="003F1432">
            <w:pPr>
              <w:numPr>
                <w:ilvl w:val="0"/>
                <w:numId w:val="30"/>
              </w:numPr>
              <w:snapToGrid w:val="0"/>
              <w:spacing w:after="0"/>
              <w:jc w:val="both"/>
              <w:rPr>
                <w:bCs/>
                <w:sz w:val="22"/>
                <w:lang w:val="en-US"/>
              </w:rPr>
            </w:pPr>
            <w:r w:rsidRPr="003F1432">
              <w:rPr>
                <w:bCs/>
                <w:sz w:val="22"/>
                <w:lang w:val="en-US"/>
              </w:rPr>
              <w:t>Both Type A and Type B PDSCH allocation should be considered</w:t>
            </w:r>
          </w:p>
          <w:p w14:paraId="3D98D5C5" w14:textId="77777777" w:rsidR="003F1432" w:rsidRPr="003F1432" w:rsidRDefault="003F1432" w:rsidP="003F1432">
            <w:pPr>
              <w:numPr>
                <w:ilvl w:val="1"/>
                <w:numId w:val="30"/>
              </w:numPr>
              <w:snapToGrid w:val="0"/>
              <w:spacing w:after="0"/>
              <w:jc w:val="both"/>
              <w:rPr>
                <w:bCs/>
                <w:sz w:val="22"/>
                <w:lang w:val="en-US"/>
              </w:rPr>
            </w:pPr>
            <w:r w:rsidRPr="003F1432">
              <w:rPr>
                <w:bCs/>
                <w:sz w:val="22"/>
                <w:lang w:val="en-US"/>
              </w:rPr>
              <w:t>Consider a possibility for introducing a single solution for Type A and Type B PDSCH allocation</w:t>
            </w:r>
          </w:p>
          <w:p w14:paraId="2B4DB2EC" w14:textId="77777777" w:rsidR="003F1432" w:rsidRPr="003F1432" w:rsidRDefault="003F1432" w:rsidP="003F1432">
            <w:pPr>
              <w:numPr>
                <w:ilvl w:val="0"/>
                <w:numId w:val="30"/>
              </w:numPr>
              <w:snapToGrid w:val="0"/>
              <w:spacing w:after="0"/>
              <w:jc w:val="both"/>
              <w:rPr>
                <w:bCs/>
                <w:sz w:val="22"/>
                <w:lang w:val="en-US"/>
              </w:rPr>
            </w:pPr>
            <w:r w:rsidRPr="003F1432">
              <w:rPr>
                <w:bCs/>
                <w:sz w:val="22"/>
                <w:lang w:val="en-US"/>
              </w:rPr>
              <w:t>PDCCH position cases 1-1, 1-2 and 2 should all be considered</w:t>
            </w:r>
          </w:p>
          <w:p w14:paraId="5ED5BEBB" w14:textId="77777777" w:rsidR="003F1432" w:rsidRPr="003F1432" w:rsidRDefault="003F1432" w:rsidP="003F1432">
            <w:pPr>
              <w:snapToGrid w:val="0"/>
              <w:spacing w:after="0"/>
              <w:jc w:val="both"/>
              <w:rPr>
                <w:b/>
                <w:bCs/>
                <w:sz w:val="22"/>
                <w:lang w:val="en-US"/>
              </w:rPr>
            </w:pPr>
          </w:p>
          <w:p w14:paraId="1CCFC045" w14:textId="27BCA31E" w:rsidR="0036189E" w:rsidRPr="003F1432" w:rsidRDefault="003F1432" w:rsidP="003F1432">
            <w:pPr>
              <w:snapToGrid w:val="0"/>
              <w:spacing w:after="0"/>
              <w:jc w:val="both"/>
              <w:rPr>
                <w:bCs/>
                <w:sz w:val="22"/>
              </w:rPr>
            </w:pPr>
            <w:r w:rsidRPr="003F1432">
              <w:rPr>
                <w:bCs/>
                <w:sz w:val="22"/>
              </w:rPr>
              <w:t>Companies are encouraged to check the summary in R1-1901458</w:t>
            </w:r>
          </w:p>
        </w:tc>
      </w:tr>
    </w:tbl>
    <w:p w14:paraId="21A9C9BD" w14:textId="77777777" w:rsidR="00846430" w:rsidRPr="00846430" w:rsidRDefault="00846430" w:rsidP="00846430">
      <w:pPr>
        <w:spacing w:afterLines="50" w:after="120"/>
        <w:jc w:val="both"/>
        <w:rPr>
          <w:rFonts w:eastAsiaTheme="minorEastAsia"/>
          <w:sz w:val="22"/>
        </w:rPr>
      </w:pPr>
    </w:p>
    <w:p w14:paraId="1C2CD813" w14:textId="2926B2AD" w:rsidR="00846430" w:rsidRP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 xml:space="preserve">present our views on </w:t>
      </w:r>
      <w:r w:rsidR="00481FE9">
        <w:rPr>
          <w:rFonts w:eastAsiaTheme="minorEastAsia"/>
          <w:sz w:val="22"/>
        </w:rPr>
        <w:t>cross-carrier scheduling with different numerologies</w:t>
      </w:r>
      <w:r w:rsidR="00846430" w:rsidRPr="00846430">
        <w:rPr>
          <w:rFonts w:eastAsiaTheme="minorEastAsia"/>
          <w:sz w:val="22"/>
        </w:rPr>
        <w:t>.</w:t>
      </w:r>
    </w:p>
    <w:p w14:paraId="72D63D9D" w14:textId="0E699E97" w:rsidR="00972C4A" w:rsidRDefault="002D30EE" w:rsidP="002361AC">
      <w:pPr>
        <w:pStyle w:val="1"/>
        <w:numPr>
          <w:ilvl w:val="0"/>
          <w:numId w:val="6"/>
        </w:numPr>
        <w:spacing w:after="120"/>
        <w:jc w:val="both"/>
        <w:rPr>
          <w:rFonts w:eastAsia="DengXian"/>
          <w:b/>
          <w:lang w:val="en-US" w:eastAsia="zh-CN"/>
        </w:rPr>
      </w:pPr>
      <w:r>
        <w:rPr>
          <w:rFonts w:eastAsia="DengXian"/>
          <w:b/>
          <w:lang w:val="en-US" w:eastAsia="zh-CN"/>
        </w:rPr>
        <w:t>Discussions</w:t>
      </w:r>
    </w:p>
    <w:p w14:paraId="5F03BB40" w14:textId="07B92C30" w:rsidR="00B741DC" w:rsidRPr="00E8048D" w:rsidRDefault="00B741DC" w:rsidP="00E8048D">
      <w:pPr>
        <w:pStyle w:val="2"/>
        <w:rPr>
          <w:rFonts w:eastAsiaTheme="minorEastAsia"/>
          <w:b/>
          <w:lang w:val="en-US"/>
        </w:rPr>
      </w:pPr>
      <w:r w:rsidRPr="00E8048D">
        <w:rPr>
          <w:rFonts w:eastAsia="DengXian"/>
          <w:b/>
          <w:lang w:val="en-US" w:eastAsia="zh-CN"/>
        </w:rPr>
        <w:t>2.1</w:t>
      </w:r>
      <w:r w:rsidRPr="00E8048D">
        <w:rPr>
          <w:rFonts w:eastAsia="DengXian"/>
          <w:b/>
          <w:lang w:val="en-US" w:eastAsia="zh-CN"/>
        </w:rPr>
        <w:tab/>
      </w:r>
      <w:r w:rsidR="00846430">
        <w:rPr>
          <w:rFonts w:eastAsiaTheme="minorEastAsia"/>
          <w:b/>
          <w:lang w:val="en-US"/>
        </w:rPr>
        <w:t>PDCCH BD/CCE limit</w:t>
      </w:r>
    </w:p>
    <w:p w14:paraId="41DF369C" w14:textId="293FE552" w:rsidR="009A13A0" w:rsidRDefault="00D25E9A" w:rsidP="00D25E9A">
      <w:pPr>
        <w:spacing w:afterLines="50" w:after="120"/>
        <w:jc w:val="both"/>
        <w:rPr>
          <w:rFonts w:eastAsiaTheme="minorEastAsia"/>
          <w:sz w:val="22"/>
        </w:rPr>
      </w:pPr>
      <w:r w:rsidRPr="007A1630">
        <w:rPr>
          <w:rFonts w:eastAsiaTheme="minorEastAsia" w:hint="eastAsia"/>
          <w:sz w:val="22"/>
        </w:rPr>
        <w:t>I</w:t>
      </w:r>
      <w:r w:rsidRPr="007A1630">
        <w:rPr>
          <w:rFonts w:eastAsiaTheme="minorEastAsia"/>
          <w:sz w:val="22"/>
        </w:rPr>
        <w:t xml:space="preserve">n Rel.15 NR CA, </w:t>
      </w:r>
      <w:r w:rsidR="00AC1ED2">
        <w:rPr>
          <w:rFonts w:eastAsiaTheme="minorEastAsia"/>
          <w:sz w:val="22"/>
        </w:rPr>
        <w:t>t</w:t>
      </w:r>
      <w:r w:rsidR="009A13A0">
        <w:rPr>
          <w:rFonts w:eastAsiaTheme="minorEastAsia"/>
          <w:sz w:val="22"/>
        </w:rPr>
        <w:t>he specification supports self- and cross-carrier scheduling for the same or different numerologies between scheduling cell</w:t>
      </w:r>
      <w:r w:rsidR="00AC1ED2">
        <w:rPr>
          <w:rFonts w:eastAsiaTheme="minorEastAsia"/>
          <w:sz w:val="22"/>
        </w:rPr>
        <w:t>s</w:t>
      </w:r>
      <w:r w:rsidR="009A13A0">
        <w:rPr>
          <w:rFonts w:eastAsiaTheme="minorEastAsia"/>
          <w:sz w:val="22"/>
        </w:rPr>
        <w:t>. The case where cross-carrier scheduling with different numerologies between scheduling cell and scheduled cell(s) is missing.</w:t>
      </w:r>
    </w:p>
    <w:p w14:paraId="2677BA95" w14:textId="506CE49F" w:rsidR="009A13A0" w:rsidRDefault="009A13A0" w:rsidP="00D25E9A">
      <w:pPr>
        <w:spacing w:afterLines="50" w:after="120"/>
        <w:jc w:val="both"/>
        <w:rPr>
          <w:rFonts w:eastAsiaTheme="minorEastAsia"/>
          <w:sz w:val="22"/>
        </w:rPr>
      </w:pPr>
      <w:r>
        <w:rPr>
          <w:rFonts w:eastAsiaTheme="minorEastAsia" w:hint="eastAsia"/>
          <w:sz w:val="22"/>
        </w:rPr>
        <w:t>M</w:t>
      </w:r>
      <w:r>
        <w:rPr>
          <w:rFonts w:eastAsiaTheme="minorEastAsia"/>
          <w:sz w:val="22"/>
        </w:rPr>
        <w:t>ore specifically, current specification is as following:</w:t>
      </w:r>
    </w:p>
    <w:p w14:paraId="23D064E7" w14:textId="40F87E7B" w:rsidR="00550781" w:rsidRDefault="00550781" w:rsidP="009A13A0">
      <w:pPr>
        <w:pStyle w:val="afe"/>
        <w:numPr>
          <w:ilvl w:val="0"/>
          <w:numId w:val="25"/>
        </w:numPr>
        <w:spacing w:afterLines="50" w:after="120"/>
        <w:ind w:leftChars="0"/>
        <w:jc w:val="both"/>
        <w:rPr>
          <w:rFonts w:eastAsiaTheme="minorEastAsia"/>
          <w:sz w:val="22"/>
        </w:rPr>
      </w:pPr>
      <w:r>
        <w:rPr>
          <w:rFonts w:eastAsiaTheme="minorEastAsia" w:hint="eastAsia"/>
          <w:sz w:val="22"/>
        </w:rPr>
        <w:t>F</w:t>
      </w:r>
      <w:r>
        <w:rPr>
          <w:rFonts w:eastAsiaTheme="minorEastAsia"/>
          <w:sz w:val="22"/>
        </w:rPr>
        <w:t xml:space="preserve">or non-CA, BD and CCE limits for SCS configuration </w:t>
      </w:r>
      <m:oMath>
        <m:r>
          <w:rPr>
            <w:rFonts w:ascii="Cambria Math" w:eastAsiaTheme="minorEastAsia" w:hAnsi="Cambria Math"/>
            <w:sz w:val="22"/>
          </w:rPr>
          <m:t>μ</m:t>
        </m:r>
      </m:oMath>
      <w:r>
        <w:rPr>
          <w:rFonts w:eastAsiaTheme="minorEastAsia"/>
          <w:sz w:val="22"/>
        </w:rPr>
        <w:t xml:space="preserve"> are defined as </w:t>
      </w:r>
      <m:oMath>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max,slot,μ</m:t>
            </m:r>
          </m:sup>
        </m:sSubSup>
      </m:oMath>
      <w:r>
        <w:rPr>
          <w:rFonts w:eastAsiaTheme="minorEastAsia" w:hint="eastAsia"/>
          <w:sz w:val="22"/>
        </w:rPr>
        <w:t xml:space="preserve"> </w:t>
      </w:r>
      <w:proofErr w:type="gramStart"/>
      <w:r>
        <w:rPr>
          <w:rFonts w:eastAsiaTheme="minorEastAsia"/>
          <w:sz w:val="22"/>
        </w:rPr>
        <w:t xml:space="preserve">and </w:t>
      </w:r>
      <w:proofErr w:type="gramEnd"/>
      <m:oMath>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m:t>
            </m:r>
            <m:r>
              <w:rPr>
                <w:rFonts w:ascii="Cambria Math" w:eastAsiaTheme="minorEastAsia" w:hAnsi="Cambria Math"/>
                <w:sz w:val="22"/>
              </w:rPr>
              <m:t>lot,μ</m:t>
            </m:r>
          </m:sup>
        </m:sSubSup>
      </m:oMath>
      <w:r>
        <w:rPr>
          <w:rFonts w:eastAsiaTheme="minorEastAsia" w:hint="eastAsia"/>
          <w:sz w:val="22"/>
        </w:rPr>
        <w:t>,</w:t>
      </w:r>
      <w:r>
        <w:rPr>
          <w:rFonts w:eastAsiaTheme="minorEastAsia"/>
          <w:sz w:val="22"/>
        </w:rPr>
        <w:t xml:space="preserve"> respectively.</w:t>
      </w:r>
    </w:p>
    <w:p w14:paraId="7C8B82CC" w14:textId="53BEAFA2" w:rsidR="009A13A0" w:rsidRDefault="009A13A0" w:rsidP="009A13A0">
      <w:pPr>
        <w:pStyle w:val="afe"/>
        <w:numPr>
          <w:ilvl w:val="0"/>
          <w:numId w:val="25"/>
        </w:numPr>
        <w:spacing w:afterLines="50" w:after="120"/>
        <w:ind w:leftChars="0"/>
        <w:jc w:val="both"/>
        <w:rPr>
          <w:rFonts w:eastAsiaTheme="minorEastAsia"/>
          <w:sz w:val="22"/>
        </w:rPr>
      </w:pPr>
      <w:r>
        <w:rPr>
          <w:rFonts w:eastAsiaTheme="minorEastAsia"/>
          <w:sz w:val="22"/>
        </w:rPr>
        <w:t xml:space="preserve">If a UE is configured with </w:t>
      </w:r>
      <m:oMath>
        <m:nary>
          <m:naryPr>
            <m:chr m:val="∑"/>
            <m:limLoc m:val="subSup"/>
            <m:ctrlPr>
              <w:rPr>
                <w:rFonts w:ascii="Cambria Math" w:eastAsiaTheme="minorEastAsia" w:hAnsi="Cambria Math"/>
                <w:i/>
                <w:sz w:val="22"/>
              </w:rPr>
            </m:ctrlPr>
          </m:naryPr>
          <m:sub>
            <m:r>
              <w:rPr>
                <w:rFonts w:ascii="Cambria Math" w:eastAsiaTheme="minorEastAsia" w:hAnsi="Cambria Math"/>
                <w:sz w:val="22"/>
              </w:rPr>
              <m:t>μ=0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e>
        </m:nary>
        <m:r>
          <w:rPr>
            <w:rFonts w:ascii="Cambria Math" w:eastAsiaTheme="minorEastAsia" w:hAnsi="Cambria Math"/>
            <w:sz w:val="22"/>
          </w:rPr>
          <m:t>≤4</m:t>
        </m:r>
      </m:oMath>
      <w:r>
        <w:rPr>
          <w:rFonts w:eastAsiaTheme="minorEastAsia"/>
          <w:sz w:val="22"/>
        </w:rPr>
        <w:t xml:space="preserve"> DL-CCs or with </w:t>
      </w:r>
      <m:oMath>
        <m:nary>
          <m:naryPr>
            <m:chr m:val="∑"/>
            <m:limLoc m:val="subSup"/>
            <m:ctrlPr>
              <w:rPr>
                <w:rFonts w:ascii="Cambria Math" w:eastAsiaTheme="minorEastAsia" w:hAnsi="Cambria Math"/>
                <w:i/>
                <w:sz w:val="22"/>
              </w:rPr>
            </m:ctrlPr>
          </m:naryPr>
          <m:sub>
            <m:r>
              <w:rPr>
                <w:rFonts w:ascii="Cambria Math" w:eastAsiaTheme="minorEastAsia" w:hAnsi="Cambria Math"/>
                <w:sz w:val="22"/>
              </w:rPr>
              <m:t>μ=0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e>
        </m:nary>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oMath>
      <w:r>
        <w:rPr>
          <w:rFonts w:eastAsiaTheme="minorEastAsia" w:hint="eastAsia"/>
          <w:sz w:val="22"/>
        </w:rPr>
        <w:t xml:space="preserve"> </w:t>
      </w:r>
      <w:r>
        <w:rPr>
          <w:rFonts w:eastAsiaTheme="minorEastAsia"/>
          <w:sz w:val="22"/>
        </w:rPr>
        <w:t xml:space="preserve">DL-CCs where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oMath>
      <w:r>
        <w:rPr>
          <w:rFonts w:eastAsiaTheme="minorEastAsia" w:hint="eastAsia"/>
          <w:sz w:val="22"/>
        </w:rPr>
        <w:t xml:space="preserve"> </w:t>
      </w:r>
      <w:r>
        <w:rPr>
          <w:rFonts w:eastAsiaTheme="minorEastAsia"/>
          <w:sz w:val="22"/>
        </w:rPr>
        <w:t xml:space="preserve">is the number of </w:t>
      </w:r>
      <w:r w:rsidR="00514885">
        <w:rPr>
          <w:rFonts w:eastAsiaTheme="minorEastAsia"/>
          <w:sz w:val="22"/>
        </w:rPr>
        <w:t xml:space="preserve">configured </w:t>
      </w:r>
      <w:r>
        <w:rPr>
          <w:rFonts w:eastAsiaTheme="minorEastAsia"/>
          <w:sz w:val="22"/>
        </w:rPr>
        <w:t xml:space="preserve">DL-CCs </w:t>
      </w:r>
      <w:r w:rsidR="00514885">
        <w:rPr>
          <w:rFonts w:eastAsiaTheme="minorEastAsia"/>
          <w:sz w:val="22"/>
        </w:rPr>
        <w:t>with DL BWPs having</w:t>
      </w:r>
      <w:r>
        <w:rPr>
          <w:rFonts w:eastAsiaTheme="minorEastAsia"/>
          <w:sz w:val="22"/>
        </w:rPr>
        <w:t xml:space="preserve"> SCS configuration </w:t>
      </w:r>
      <m:oMath>
        <m:r>
          <w:rPr>
            <w:rFonts w:ascii="Cambria Math" w:eastAsiaTheme="minorEastAsia" w:hAnsi="Cambria Math"/>
            <w:sz w:val="22"/>
          </w:rPr>
          <m:t>μ</m:t>
        </m:r>
      </m:oMath>
      <w:r>
        <w:rPr>
          <w:rFonts w:eastAsiaTheme="minorEastAsia" w:hint="eastAsia"/>
          <w:sz w:val="22"/>
        </w:rPr>
        <w:t xml:space="preserve"> </w:t>
      </w:r>
      <w:r>
        <w:rPr>
          <w:rFonts w:eastAsiaTheme="minorEastAsia"/>
          <w:sz w:val="22"/>
        </w:rPr>
        <w:t xml:space="preserve">and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oMath>
      <w:r>
        <w:rPr>
          <w:rFonts w:eastAsiaTheme="minorEastAsia" w:hint="eastAsia"/>
          <w:sz w:val="22"/>
        </w:rPr>
        <w:t xml:space="preserve"> </w:t>
      </w:r>
      <w:r>
        <w:rPr>
          <w:rFonts w:eastAsiaTheme="minorEastAsia"/>
          <w:sz w:val="22"/>
        </w:rPr>
        <w:t xml:space="preserve">is the UE capability indicated through </w:t>
      </w:r>
      <w:proofErr w:type="spellStart"/>
      <w:r w:rsidRPr="009A13A0">
        <w:rPr>
          <w:rFonts w:eastAsiaTheme="minorEastAsia"/>
          <w:i/>
          <w:sz w:val="22"/>
        </w:rPr>
        <w:t>pdcch-BlindDetection</w:t>
      </w:r>
      <w:r w:rsidR="00AC1ED2">
        <w:rPr>
          <w:rFonts w:eastAsiaTheme="minorEastAsia"/>
          <w:i/>
          <w:sz w:val="22"/>
        </w:rPr>
        <w:t>C</w:t>
      </w:r>
      <w:r w:rsidRPr="009A13A0">
        <w:rPr>
          <w:rFonts w:eastAsiaTheme="minorEastAsia"/>
          <w:i/>
          <w:sz w:val="22"/>
        </w:rPr>
        <w:t>A</w:t>
      </w:r>
      <w:proofErr w:type="spellEnd"/>
      <w:r>
        <w:rPr>
          <w:rFonts w:eastAsiaTheme="minorEastAsia"/>
          <w:sz w:val="22"/>
        </w:rPr>
        <w:t>,</w:t>
      </w:r>
    </w:p>
    <w:p w14:paraId="26997E4C" w14:textId="30024CEC" w:rsidR="009A13A0" w:rsidRPr="009A13A0" w:rsidRDefault="009A13A0" w:rsidP="009A13A0">
      <w:pPr>
        <w:pStyle w:val="afe"/>
        <w:numPr>
          <w:ilvl w:val="1"/>
          <w:numId w:val="25"/>
        </w:numPr>
        <w:spacing w:afterLines="50" w:after="120"/>
        <w:ind w:leftChars="0"/>
        <w:jc w:val="both"/>
        <w:rPr>
          <w:rFonts w:eastAsiaTheme="minorEastAsia"/>
          <w:sz w:val="22"/>
        </w:rPr>
      </w:pPr>
      <w:r>
        <w:rPr>
          <w:rFonts w:eastAsiaTheme="minorEastAsia"/>
          <w:sz w:val="22"/>
        </w:rPr>
        <w:t xml:space="preserve">The </w:t>
      </w:r>
      <w:r w:rsidR="00550781">
        <w:rPr>
          <w:rFonts w:eastAsiaTheme="minorEastAsia"/>
          <w:sz w:val="22"/>
        </w:rPr>
        <w:t xml:space="preserve">BD/CCE limits for each scheduled cell are </w:t>
      </w:r>
      <m:oMath>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max,slot,μ</m:t>
            </m:r>
          </m:sup>
        </m:sSubSup>
      </m:oMath>
      <w:r w:rsidR="00550781">
        <w:rPr>
          <w:rFonts w:eastAsiaTheme="minorEastAsia" w:hint="eastAsia"/>
          <w:sz w:val="22"/>
        </w:rPr>
        <w:t xml:space="preserve"> </w:t>
      </w:r>
      <w:proofErr w:type="gramStart"/>
      <w:r w:rsidR="00550781">
        <w:rPr>
          <w:rFonts w:eastAsiaTheme="minorEastAsia"/>
          <w:sz w:val="22"/>
        </w:rPr>
        <w:t xml:space="preserve">and </w:t>
      </w:r>
      <w:proofErr w:type="gramEnd"/>
      <m:oMath>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oMath>
      <w:r w:rsidR="00550781">
        <w:rPr>
          <w:rFonts w:eastAsiaTheme="minorEastAsia"/>
          <w:sz w:val="22"/>
        </w:rPr>
        <w:t>.</w:t>
      </w:r>
    </w:p>
    <w:p w14:paraId="133B02ED" w14:textId="4E68200A" w:rsidR="00550781" w:rsidRDefault="00550781" w:rsidP="00550781">
      <w:pPr>
        <w:pStyle w:val="afe"/>
        <w:numPr>
          <w:ilvl w:val="0"/>
          <w:numId w:val="25"/>
        </w:numPr>
        <w:spacing w:afterLines="50" w:after="120"/>
        <w:ind w:leftChars="0"/>
        <w:jc w:val="both"/>
        <w:rPr>
          <w:rFonts w:eastAsiaTheme="minorEastAsia"/>
          <w:sz w:val="22"/>
        </w:rPr>
      </w:pPr>
      <w:r>
        <w:rPr>
          <w:rFonts w:eastAsiaTheme="minorEastAsia"/>
          <w:sz w:val="22"/>
        </w:rPr>
        <w:lastRenderedPageBreak/>
        <w:t xml:space="preserve">If a UE is configured with </w:t>
      </w:r>
      <m:oMath>
        <m:r>
          <w:rPr>
            <w:rFonts w:ascii="Cambria Math" w:eastAsiaTheme="minorEastAsia" w:hAnsi="Cambria Math"/>
            <w:sz w:val="22"/>
          </w:rPr>
          <m:t>4≤</m:t>
        </m:r>
        <m:nary>
          <m:naryPr>
            <m:chr m:val="∑"/>
            <m:limLoc m:val="subSup"/>
            <m:ctrlPr>
              <w:rPr>
                <w:rFonts w:ascii="Cambria Math" w:eastAsiaTheme="minorEastAsia" w:hAnsi="Cambria Math"/>
                <w:i/>
                <w:sz w:val="22"/>
              </w:rPr>
            </m:ctrlPr>
          </m:naryPr>
          <m:sub>
            <m:r>
              <w:rPr>
                <w:rFonts w:ascii="Cambria Math" w:eastAsiaTheme="minorEastAsia" w:hAnsi="Cambria Math"/>
                <w:sz w:val="22"/>
              </w:rPr>
              <m:t>μ=0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e>
        </m:nary>
      </m:oMath>
      <w:r>
        <w:rPr>
          <w:rFonts w:eastAsiaTheme="minorEastAsia"/>
          <w:sz w:val="22"/>
        </w:rPr>
        <w:t xml:space="preserve"> DL-CCs </w:t>
      </w:r>
      <w:r w:rsidR="00AC1ED2">
        <w:rPr>
          <w:rFonts w:eastAsiaTheme="minorEastAsia"/>
          <w:sz w:val="22"/>
        </w:rPr>
        <w:t>where the UE reports</w:t>
      </w:r>
      <w:r>
        <w:rPr>
          <w:rFonts w:eastAsiaTheme="minor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m:t>
        </m:r>
        <m:nary>
          <m:naryPr>
            <m:chr m:val="∑"/>
            <m:limLoc m:val="subSup"/>
            <m:ctrlPr>
              <w:rPr>
                <w:rFonts w:ascii="Cambria Math" w:eastAsiaTheme="minorEastAsia" w:hAnsi="Cambria Math"/>
                <w:i/>
                <w:sz w:val="22"/>
              </w:rPr>
            </m:ctrlPr>
          </m:naryPr>
          <m:sub>
            <m:r>
              <w:rPr>
                <w:rFonts w:ascii="Cambria Math" w:eastAsiaTheme="minorEastAsia" w:hAnsi="Cambria Math"/>
                <w:sz w:val="22"/>
              </w:rPr>
              <m:t>μ=0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e>
        </m:nary>
      </m:oMath>
      <w:r w:rsidR="00AC1ED2">
        <w:rPr>
          <w:rFonts w:eastAsiaTheme="minorEastAsia" w:hint="eastAsia"/>
          <w:sz w:val="22"/>
        </w:rPr>
        <w:t xml:space="preserve"> </w:t>
      </w:r>
      <w:r w:rsidR="00AC1ED2">
        <w:rPr>
          <w:rFonts w:eastAsiaTheme="minorEastAsia"/>
          <w:sz w:val="22"/>
        </w:rPr>
        <w:t xml:space="preserve">through </w:t>
      </w:r>
      <w:proofErr w:type="spellStart"/>
      <w:r w:rsidR="00AC1ED2" w:rsidRPr="00AC1ED2">
        <w:rPr>
          <w:rFonts w:eastAsiaTheme="minorEastAsia"/>
          <w:i/>
          <w:sz w:val="22"/>
        </w:rPr>
        <w:t>pdcch-BlindDetectionCA</w:t>
      </w:r>
      <w:proofErr w:type="spellEnd"/>
      <w:r>
        <w:rPr>
          <w:rFonts w:eastAsiaTheme="minorEastAsia"/>
          <w:sz w:val="22"/>
        </w:rPr>
        <w:t>,</w:t>
      </w:r>
    </w:p>
    <w:p w14:paraId="59EBFBEA" w14:textId="6C1F5134" w:rsidR="00550781" w:rsidRDefault="00550781" w:rsidP="00550781">
      <w:pPr>
        <w:pStyle w:val="afe"/>
        <w:numPr>
          <w:ilvl w:val="1"/>
          <w:numId w:val="25"/>
        </w:numPr>
        <w:spacing w:afterLines="50" w:after="120"/>
        <w:ind w:leftChars="0"/>
        <w:jc w:val="both"/>
        <w:rPr>
          <w:rFonts w:eastAsiaTheme="minorEastAsia"/>
          <w:sz w:val="22"/>
        </w:rPr>
      </w:pPr>
      <w:r>
        <w:rPr>
          <w:rFonts w:eastAsiaTheme="minorEastAsia"/>
          <w:sz w:val="22"/>
        </w:rPr>
        <w:t xml:space="preserve">The BD/CCE limits for each scheduled cell are </w:t>
      </w:r>
      <m:oMath>
        <m:r>
          <m:rPr>
            <m:sty m:val="p"/>
          </m:rPr>
          <w:rPr>
            <w:rFonts w:ascii="Cambria Math" w:eastAsiaTheme="minorEastAsia" w:hAnsi="Cambria Math"/>
            <w:sz w:val="22"/>
          </w:rPr>
          <m:t>min⁡</m:t>
        </m:r>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m:t>
            </m:r>
            <m:r>
              <w:rPr>
                <w:rFonts w:ascii="Cambria Math" w:eastAsiaTheme="minorEastAsia" w:hAnsi="Cambria Math"/>
                <w:sz w:val="22"/>
              </w:rPr>
              <m:t>CH</m:t>
            </m:r>
          </m:sub>
          <m:sup>
            <m:r>
              <w:rPr>
                <w:rFonts w:ascii="Cambria Math" w:eastAsiaTheme="minorEastAsia" w:hAnsi="Cambria Math"/>
                <w:sz w:val="22"/>
              </w:rPr>
              <m:t>max,slot,μ</m:t>
            </m:r>
          </m:sup>
        </m:sSubSup>
        <m:r>
          <w:rPr>
            <w:rFonts w:ascii="Cambria Math" w:eastAsiaTheme="minorEastAsia" w:hAnsi="Cambria Math"/>
            <w:sz w:val="22"/>
          </w:rPr>
          <m:t>)</m:t>
        </m:r>
      </m:oMath>
      <w:r>
        <w:rPr>
          <w:rFonts w:eastAsiaTheme="minorEastAsia" w:hint="eastAsia"/>
          <w:sz w:val="22"/>
        </w:rPr>
        <w:t xml:space="preserve"> </w:t>
      </w:r>
      <m:oMath>
        <m:r>
          <m:rPr>
            <m:sty m:val="p"/>
          </m:rPr>
          <w:rPr>
            <w:rFonts w:ascii="Cambria Math" w:eastAsiaTheme="minorEastAsia" w:hAnsi="Cambria Math"/>
            <w:sz w:val="22"/>
          </w:rPr>
          <m:t>min⁡</m:t>
        </m:r>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oMath>
      <w:r>
        <w:rPr>
          <w:rFonts w:eastAsiaTheme="minorEastAsia" w:hint="eastAsia"/>
          <w:sz w:val="22"/>
        </w:rPr>
        <w:t>,</w:t>
      </w:r>
      <w:r>
        <w:rPr>
          <w:rFonts w:eastAsiaTheme="minorEastAsia"/>
          <w:sz w:val="22"/>
        </w:rPr>
        <w:t xml:space="preserve"> where;</w:t>
      </w:r>
    </w:p>
    <w:p w14:paraId="5C09BD27" w14:textId="5AB8ABC2" w:rsidR="00550781" w:rsidRDefault="00C02815" w:rsidP="00550781">
      <w:pPr>
        <w:pStyle w:val="afe"/>
        <w:numPr>
          <w:ilvl w:val="2"/>
          <w:numId w:val="25"/>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f>
              <m:fPr>
                <m:type m:val="lin"/>
                <m:ctrlPr>
                  <w:rPr>
                    <w:rFonts w:ascii="Cambria Math" w:eastAsiaTheme="minorEastAsia" w:hAnsi="Cambria Math"/>
                    <w:i/>
                    <w:sz w:val="22"/>
                  </w:rPr>
                </m:ctrlPr>
              </m:fPr>
              <m:num>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num>
              <m:den>
                <m:nary>
                  <m:naryPr>
                    <m:chr m:val="∑"/>
                    <m:limLoc m:val="subSup"/>
                    <m:ctrlPr>
                      <w:rPr>
                        <w:rFonts w:ascii="Cambria Math" w:eastAsiaTheme="minorEastAsia" w:hAnsi="Cambria Math"/>
                        <w:i/>
                        <w:sz w:val="22"/>
                      </w:rPr>
                    </m:ctrlPr>
                  </m:naryPr>
                  <m:sub>
                    <m:r>
                      <w:rPr>
                        <w:rFonts w:ascii="Cambria Math" w:eastAsiaTheme="minorEastAsia" w:hAnsi="Cambria Math"/>
                        <w:sz w:val="22"/>
                      </w:rPr>
                      <m:t>j=0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DL,j</m:t>
                        </m:r>
                      </m:sup>
                    </m:sSubSup>
                  </m:e>
                </m:nary>
              </m:den>
            </m:f>
          </m:e>
        </m:d>
      </m:oMath>
      <w:r w:rsidR="00AC1ED2">
        <w:rPr>
          <w:rFonts w:eastAsiaTheme="minorEastAsia" w:hint="eastAsia"/>
          <w:sz w:val="22"/>
        </w:rPr>
        <w:t xml:space="preserve"> </w:t>
      </w:r>
      <w:r w:rsidR="00AC1ED2">
        <w:rPr>
          <w:rFonts w:eastAsiaTheme="minorEastAsia"/>
          <w:sz w:val="22"/>
        </w:rPr>
        <w:t xml:space="preserve">and </w:t>
      </w:r>
    </w:p>
    <w:p w14:paraId="79A21E1F" w14:textId="3EC21B7A" w:rsidR="00AC1ED2" w:rsidRPr="009A13A0" w:rsidRDefault="00C02815" w:rsidP="00550781">
      <w:pPr>
        <w:pStyle w:val="afe"/>
        <w:numPr>
          <w:ilvl w:val="2"/>
          <w:numId w:val="25"/>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f>
              <m:fPr>
                <m:type m:val="lin"/>
                <m:ctrlPr>
                  <w:rPr>
                    <w:rFonts w:ascii="Cambria Math" w:eastAsiaTheme="minorEastAsia" w:hAnsi="Cambria Math"/>
                    <w:i/>
                    <w:sz w:val="22"/>
                  </w:rPr>
                </m:ctrlPr>
              </m:fPr>
              <m:num>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num>
              <m:den>
                <m:nary>
                  <m:naryPr>
                    <m:chr m:val="∑"/>
                    <m:limLoc m:val="subSup"/>
                    <m:ctrlPr>
                      <w:rPr>
                        <w:rFonts w:ascii="Cambria Math" w:eastAsiaTheme="minorEastAsia" w:hAnsi="Cambria Math"/>
                        <w:i/>
                        <w:sz w:val="22"/>
                      </w:rPr>
                    </m:ctrlPr>
                  </m:naryPr>
                  <m:sub>
                    <m:r>
                      <w:rPr>
                        <w:rFonts w:ascii="Cambria Math" w:eastAsiaTheme="minorEastAsia" w:hAnsi="Cambria Math"/>
                        <w:sz w:val="22"/>
                      </w:rPr>
                      <m:t>j=0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DL,j</m:t>
                        </m:r>
                      </m:sup>
                    </m:sSubSup>
                  </m:e>
                </m:nary>
              </m:den>
            </m:f>
          </m:e>
        </m:d>
      </m:oMath>
      <w:r w:rsidR="00AC1ED2">
        <w:rPr>
          <w:rFonts w:eastAsiaTheme="minorEastAsia" w:hint="eastAsia"/>
          <w:sz w:val="22"/>
        </w:rPr>
        <w:t>.</w:t>
      </w:r>
    </w:p>
    <w:p w14:paraId="38FD1FA1" w14:textId="4BD21011" w:rsidR="00550781" w:rsidRDefault="00550781" w:rsidP="00D25E9A">
      <w:pPr>
        <w:spacing w:afterLines="50" w:after="120"/>
        <w:jc w:val="both"/>
        <w:rPr>
          <w:rFonts w:eastAsiaTheme="minorEastAsia"/>
          <w:sz w:val="22"/>
        </w:rPr>
      </w:pPr>
    </w:p>
    <w:p w14:paraId="54BF4BF8" w14:textId="0F317F88" w:rsidR="00F51B63" w:rsidRDefault="00F51B63" w:rsidP="00D25E9A">
      <w:pPr>
        <w:spacing w:afterLines="50" w:after="120"/>
        <w:jc w:val="both"/>
        <w:rPr>
          <w:rFonts w:eastAsiaTheme="minorEastAsia"/>
          <w:sz w:val="22"/>
        </w:rPr>
      </w:pPr>
      <w:r>
        <w:rPr>
          <w:rFonts w:eastAsiaTheme="minorEastAsia" w:hint="eastAsia"/>
          <w:sz w:val="22"/>
        </w:rPr>
        <w:t>C</w:t>
      </w:r>
      <w:r>
        <w:rPr>
          <w:rFonts w:eastAsiaTheme="minorEastAsia"/>
          <w:sz w:val="22"/>
        </w:rPr>
        <w:t xml:space="preserve">onsidering the available TUs for this topic is minimal (needs to be completed until RAN#84), the solution should have minor impact on the above framework of PDCCH BD/CCE limit. The simplest solution is to change the definition of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oMath>
      <w:r w:rsidR="00514885">
        <w:rPr>
          <w:rFonts w:eastAsiaTheme="minorEastAsia" w:hint="eastAsia"/>
          <w:sz w:val="22"/>
        </w:rPr>
        <w:t xml:space="preserve"> </w:t>
      </w:r>
      <w:r w:rsidR="00514885">
        <w:rPr>
          <w:rFonts w:eastAsiaTheme="minorEastAsia"/>
          <w:sz w:val="22"/>
        </w:rPr>
        <w:t xml:space="preserve">from “the number of configured DL-CCs with DL BWPs having SCS </w:t>
      </w:r>
      <w:proofErr w:type="gramStart"/>
      <w:r w:rsidR="00514885">
        <w:rPr>
          <w:rFonts w:eastAsiaTheme="minorEastAsia"/>
          <w:sz w:val="22"/>
        </w:rPr>
        <w:t xml:space="preserve">configuration </w:t>
      </w:r>
      <w:proofErr w:type="gramEnd"/>
      <m:oMath>
        <m:r>
          <w:rPr>
            <w:rFonts w:ascii="Cambria Math" w:eastAsiaTheme="minorEastAsia" w:hAnsi="Cambria Math"/>
            <w:sz w:val="22"/>
          </w:rPr>
          <m:t>μ</m:t>
        </m:r>
      </m:oMath>
      <w:r w:rsidR="00514885">
        <w:rPr>
          <w:rFonts w:eastAsiaTheme="minorEastAsia"/>
          <w:sz w:val="22"/>
        </w:rPr>
        <w:t xml:space="preserve">” to “the number of configured DL-CCs </w:t>
      </w:r>
      <w:r w:rsidR="00096DC7">
        <w:rPr>
          <w:rFonts w:eastAsiaTheme="minorEastAsia"/>
          <w:sz w:val="22"/>
        </w:rPr>
        <w:t>whose</w:t>
      </w:r>
      <w:r w:rsidR="00514885">
        <w:rPr>
          <w:rFonts w:eastAsiaTheme="minorEastAsia"/>
          <w:sz w:val="22"/>
        </w:rPr>
        <w:t xml:space="preserve"> scheduling cell </w:t>
      </w:r>
      <w:r w:rsidR="00096DC7">
        <w:rPr>
          <w:rFonts w:eastAsiaTheme="minorEastAsia"/>
          <w:sz w:val="22"/>
        </w:rPr>
        <w:t xml:space="preserve">is </w:t>
      </w:r>
      <w:r w:rsidR="00514885">
        <w:rPr>
          <w:rFonts w:eastAsiaTheme="minorEastAsia"/>
          <w:sz w:val="22"/>
        </w:rPr>
        <w:t xml:space="preserve">with DL BWPs having SCS configuration </w:t>
      </w:r>
      <m:oMath>
        <m:r>
          <w:rPr>
            <w:rFonts w:ascii="Cambria Math" w:eastAsiaTheme="minorEastAsia" w:hAnsi="Cambria Math"/>
            <w:sz w:val="22"/>
          </w:rPr>
          <m:t>μ</m:t>
        </m:r>
      </m:oMath>
      <w:r w:rsidR="00514885">
        <w:rPr>
          <w:rFonts w:eastAsiaTheme="minorEastAsia"/>
          <w:sz w:val="22"/>
        </w:rPr>
        <w:t>”</w:t>
      </w:r>
      <w:r>
        <w:rPr>
          <w:rFonts w:eastAsiaTheme="minorEastAsia"/>
          <w:sz w:val="22"/>
        </w:rPr>
        <w:t>.</w:t>
      </w:r>
    </w:p>
    <w:p w14:paraId="6FD6A0BD" w14:textId="0BB841B8" w:rsidR="00F51B63" w:rsidRDefault="00F51B63" w:rsidP="00D25E9A">
      <w:pPr>
        <w:spacing w:afterLines="50" w:after="120"/>
        <w:jc w:val="both"/>
        <w:rPr>
          <w:rFonts w:eastAsiaTheme="minorEastAsia"/>
          <w:sz w:val="22"/>
        </w:rPr>
      </w:pPr>
    </w:p>
    <w:p w14:paraId="0A10182E" w14:textId="5F620389" w:rsidR="007577A7" w:rsidRDefault="007577A7" w:rsidP="00D25E9A">
      <w:pPr>
        <w:spacing w:afterLines="50" w:after="120"/>
        <w:jc w:val="both"/>
        <w:rPr>
          <w:rFonts w:eastAsiaTheme="minorEastAsia"/>
          <w:sz w:val="22"/>
        </w:rPr>
      </w:pPr>
      <w:r>
        <w:rPr>
          <w:rFonts w:eastAsiaTheme="minorEastAsia"/>
          <w:sz w:val="22"/>
        </w:rPr>
        <w:t>An</w:t>
      </w:r>
      <w:r w:rsidR="00F51B63">
        <w:rPr>
          <w:rFonts w:eastAsiaTheme="minorEastAsia"/>
          <w:sz w:val="22"/>
        </w:rPr>
        <w:t xml:space="preserve"> example is illustrated in Fig. 1. </w:t>
      </w:r>
      <w:r w:rsidR="00096DC7">
        <w:rPr>
          <w:rFonts w:eastAsiaTheme="minorEastAsia"/>
          <w:sz w:val="22"/>
        </w:rPr>
        <w:t>Six</w:t>
      </w:r>
      <w:r w:rsidR="00F51B63">
        <w:rPr>
          <w:rFonts w:eastAsiaTheme="minorEastAsia"/>
          <w:sz w:val="22"/>
        </w:rPr>
        <w:t xml:space="preserve"> DL-CCs are configured where CC#1</w:t>
      </w:r>
      <w:r w:rsidR="00015509">
        <w:rPr>
          <w:rFonts w:eastAsiaTheme="minorEastAsia"/>
          <w:sz w:val="22"/>
        </w:rPr>
        <w:t xml:space="preserve">, </w:t>
      </w:r>
      <w:r w:rsidR="00F51B63">
        <w:rPr>
          <w:rFonts w:eastAsiaTheme="minorEastAsia"/>
          <w:sz w:val="22"/>
        </w:rPr>
        <w:t xml:space="preserve">#2 are with SCS </w:t>
      </w:r>
      <w:proofErr w:type="gramStart"/>
      <w:r w:rsidR="00015509">
        <w:rPr>
          <w:rFonts w:eastAsiaTheme="minorEastAsia"/>
          <w:sz w:val="22"/>
        </w:rPr>
        <w:t>30kHz</w:t>
      </w:r>
      <w:proofErr w:type="gramEnd"/>
      <w:r w:rsidR="00F51B63">
        <w:rPr>
          <w:rFonts w:eastAsiaTheme="minorEastAsia"/>
          <w:sz w:val="22"/>
        </w:rPr>
        <w:t xml:space="preserve">, </w:t>
      </w:r>
      <w:r w:rsidR="00015509">
        <w:rPr>
          <w:rFonts w:eastAsiaTheme="minorEastAsia"/>
          <w:sz w:val="22"/>
        </w:rPr>
        <w:t>and CC#3, #4, #5</w:t>
      </w:r>
      <w:r>
        <w:rPr>
          <w:rFonts w:eastAsiaTheme="minorEastAsia"/>
          <w:sz w:val="22"/>
        </w:rPr>
        <w:t>, #6</w:t>
      </w:r>
      <w:r w:rsidR="00015509">
        <w:rPr>
          <w:rFonts w:eastAsiaTheme="minorEastAsia"/>
          <w:sz w:val="22"/>
        </w:rPr>
        <w:t xml:space="preserve"> are with SCS 120kHz. Here, cross-carrier scheduling from CC#1 to #4, #5, and from CC#3 to #2, </w:t>
      </w:r>
      <w:r w:rsidR="00514885">
        <w:rPr>
          <w:rFonts w:eastAsiaTheme="minorEastAsia"/>
          <w:sz w:val="22"/>
        </w:rPr>
        <w:t xml:space="preserve">#6, </w:t>
      </w:r>
      <w:r w:rsidR="00015509">
        <w:rPr>
          <w:rFonts w:eastAsiaTheme="minorEastAsia"/>
          <w:sz w:val="22"/>
        </w:rPr>
        <w:t>are assumed</w:t>
      </w:r>
      <w:r>
        <w:rPr>
          <w:rFonts w:eastAsiaTheme="minorEastAsia"/>
          <w:sz w:val="22"/>
        </w:rPr>
        <w:t xml:space="preserve"> (just as an example)</w:t>
      </w:r>
      <w:r w:rsidR="00015509">
        <w:rPr>
          <w:rFonts w:eastAsiaTheme="minorEastAsia"/>
          <w:sz w:val="22"/>
        </w:rPr>
        <w:t>.</w:t>
      </w:r>
      <w:r>
        <w:rPr>
          <w:rFonts w:eastAsiaTheme="minorEastAsia"/>
          <w:sz w:val="22"/>
        </w:rPr>
        <w:t xml:space="preserve"> In this case, the PDCCH BD/CCE limits on CC#1 and CC#3 for each scheduled cell are determined as</w:t>
      </w:r>
      <w:r w:rsidR="00096DC7">
        <w:rPr>
          <w:rFonts w:eastAsiaTheme="minorEastAsia"/>
          <w:sz w:val="22"/>
        </w:rPr>
        <w:t xml:space="preserve"> following. Although the ratio of DL-CCs with different SCSs is 2:4, the BD/CCE limit is based on the ratio of DL-CCs with different scheduling cells with different SCSs, which is 3:3.</w:t>
      </w:r>
    </w:p>
    <w:p w14:paraId="2E04E5BC" w14:textId="483F50EF" w:rsidR="007577A7" w:rsidRDefault="007577A7" w:rsidP="007577A7">
      <w:pPr>
        <w:pStyle w:val="afe"/>
        <w:numPr>
          <w:ilvl w:val="0"/>
          <w:numId w:val="25"/>
        </w:numPr>
        <w:spacing w:afterLines="50" w:after="120"/>
        <w:ind w:leftChars="0"/>
        <w:jc w:val="both"/>
        <w:rPr>
          <w:rFonts w:eastAsiaTheme="minorEastAsia"/>
          <w:sz w:val="22"/>
        </w:rPr>
      </w:pPr>
      <w:r>
        <w:rPr>
          <w:rFonts w:eastAsiaTheme="minorEastAsia" w:hint="eastAsia"/>
          <w:sz w:val="22"/>
        </w:rPr>
        <w:t>O</w:t>
      </w:r>
      <w:r>
        <w:rPr>
          <w:rFonts w:eastAsiaTheme="minorEastAsia"/>
          <w:sz w:val="22"/>
        </w:rPr>
        <w:t>n CC#1, for each scheduled cell:</w:t>
      </w:r>
    </w:p>
    <w:p w14:paraId="2D7220A8" w14:textId="458ED4FD" w:rsidR="007577A7" w:rsidRDefault="007577A7" w:rsidP="007577A7">
      <w:pPr>
        <w:pStyle w:val="afe"/>
        <w:numPr>
          <w:ilvl w:val="1"/>
          <w:numId w:val="25"/>
        </w:numPr>
        <w:spacing w:afterLines="50" w:after="120"/>
        <w:ind w:leftChars="0"/>
        <w:jc w:val="both"/>
        <w:rPr>
          <w:rFonts w:eastAsiaTheme="minorEastAsia"/>
          <w:sz w:val="22"/>
        </w:rPr>
      </w:pPr>
      <w:r>
        <w:rPr>
          <w:rFonts w:eastAsiaTheme="minorEastAsia" w:hint="eastAsia"/>
          <w:sz w:val="22"/>
        </w:rPr>
        <w:t>B</w:t>
      </w:r>
      <w:r>
        <w:rPr>
          <w:rFonts w:eastAsiaTheme="minorEastAsia"/>
          <w:sz w:val="22"/>
        </w:rPr>
        <w:t xml:space="preserve">D limit: </w:t>
      </w:r>
      <m:oMath>
        <m:r>
          <m:rPr>
            <m:sty m:val="p"/>
          </m:rPr>
          <w:rPr>
            <w:rFonts w:ascii="Cambria Math" w:eastAsiaTheme="minorEastAsia" w:hAnsi="Cambria Math"/>
            <w:sz w:val="22"/>
          </w:rPr>
          <m:t>min⁡</m:t>
        </m:r>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∙36∙</m:t>
            </m:r>
            <m:f>
              <m:fPr>
                <m:ctrlPr>
                  <w:rPr>
                    <w:rFonts w:ascii="Cambria Math" w:eastAsiaTheme="minorEastAsia" w:hAnsi="Cambria Math"/>
                    <w:i/>
                    <w:sz w:val="22"/>
                  </w:rPr>
                </m:ctrlPr>
              </m:fPr>
              <m:num>
                <m:r>
                  <w:rPr>
                    <w:rFonts w:ascii="Cambria Math" w:eastAsiaTheme="minorEastAsia" w:hAnsi="Cambria Math"/>
                    <w:sz w:val="22"/>
                  </w:rPr>
                  <m:t>3</m:t>
                </m:r>
              </m:num>
              <m:den>
                <m:r>
                  <w:rPr>
                    <w:rFonts w:ascii="Cambria Math" w:eastAsiaTheme="minorEastAsia" w:hAnsi="Cambria Math"/>
                    <w:sz w:val="22"/>
                  </w:rPr>
                  <m:t>3+3</m:t>
                </m:r>
              </m:den>
            </m:f>
          </m:e>
        </m:d>
        <m:r>
          <w:rPr>
            <w:rFonts w:ascii="Cambria Math" w:eastAsiaTheme="minorEastAsia" w:hAnsi="Cambria Math"/>
            <w:sz w:val="22"/>
          </w:rPr>
          <m:t>,36)</m:t>
        </m:r>
      </m:oMath>
    </w:p>
    <w:p w14:paraId="12413804" w14:textId="4370E8B0" w:rsidR="007577A7" w:rsidRDefault="007577A7" w:rsidP="007577A7">
      <w:pPr>
        <w:pStyle w:val="afe"/>
        <w:numPr>
          <w:ilvl w:val="1"/>
          <w:numId w:val="25"/>
        </w:numPr>
        <w:spacing w:afterLines="50" w:after="120"/>
        <w:ind w:leftChars="0"/>
        <w:jc w:val="both"/>
        <w:rPr>
          <w:rFonts w:eastAsiaTheme="minorEastAsia"/>
          <w:sz w:val="22"/>
        </w:rPr>
      </w:pPr>
      <w:r>
        <w:rPr>
          <w:rFonts w:eastAsiaTheme="minorEastAsia"/>
          <w:sz w:val="22"/>
        </w:rPr>
        <w:t xml:space="preserve">CCE limit: </w:t>
      </w:r>
      <m:oMath>
        <m:r>
          <m:rPr>
            <m:sty m:val="p"/>
          </m:rPr>
          <w:rPr>
            <w:rFonts w:ascii="Cambria Math" w:eastAsiaTheme="minorEastAsia" w:hAnsi="Cambria Math"/>
            <w:sz w:val="22"/>
          </w:rPr>
          <m:t>min⁡</m:t>
        </m:r>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∙56∙</m:t>
            </m:r>
            <m:f>
              <m:fPr>
                <m:ctrlPr>
                  <w:rPr>
                    <w:rFonts w:ascii="Cambria Math" w:eastAsiaTheme="minorEastAsia" w:hAnsi="Cambria Math"/>
                    <w:i/>
                    <w:sz w:val="22"/>
                  </w:rPr>
                </m:ctrlPr>
              </m:fPr>
              <m:num>
                <m:r>
                  <w:rPr>
                    <w:rFonts w:ascii="Cambria Math" w:eastAsiaTheme="minorEastAsia" w:hAnsi="Cambria Math"/>
                    <w:sz w:val="22"/>
                  </w:rPr>
                  <m:t>3</m:t>
                </m:r>
              </m:num>
              <m:den>
                <m:r>
                  <w:rPr>
                    <w:rFonts w:ascii="Cambria Math" w:eastAsiaTheme="minorEastAsia" w:hAnsi="Cambria Math"/>
                    <w:sz w:val="22"/>
                  </w:rPr>
                  <m:t>3+3</m:t>
                </m:r>
              </m:den>
            </m:f>
          </m:e>
        </m:d>
        <m:r>
          <w:rPr>
            <w:rFonts w:ascii="Cambria Math" w:eastAsiaTheme="minorEastAsia" w:hAnsi="Cambria Math"/>
            <w:sz w:val="22"/>
          </w:rPr>
          <m:t>,56)</m:t>
        </m:r>
      </m:oMath>
    </w:p>
    <w:p w14:paraId="4A8145FE" w14:textId="7E43AA24" w:rsidR="007577A7" w:rsidRDefault="007577A7" w:rsidP="007577A7">
      <w:pPr>
        <w:pStyle w:val="afe"/>
        <w:numPr>
          <w:ilvl w:val="0"/>
          <w:numId w:val="25"/>
        </w:numPr>
        <w:spacing w:afterLines="50" w:after="120"/>
        <w:ind w:leftChars="0"/>
        <w:jc w:val="both"/>
        <w:rPr>
          <w:rFonts w:eastAsiaTheme="minorEastAsia"/>
          <w:sz w:val="22"/>
        </w:rPr>
      </w:pPr>
      <w:r>
        <w:rPr>
          <w:rFonts w:eastAsiaTheme="minorEastAsia" w:hint="eastAsia"/>
          <w:sz w:val="22"/>
        </w:rPr>
        <w:t>O</w:t>
      </w:r>
      <w:r>
        <w:rPr>
          <w:rFonts w:eastAsiaTheme="minorEastAsia"/>
          <w:sz w:val="22"/>
        </w:rPr>
        <w:t>n CC#3, for each scheduled cell;</w:t>
      </w:r>
    </w:p>
    <w:p w14:paraId="2A660E21" w14:textId="624CE422" w:rsidR="007577A7" w:rsidRDefault="007577A7" w:rsidP="007577A7">
      <w:pPr>
        <w:pStyle w:val="afe"/>
        <w:numPr>
          <w:ilvl w:val="1"/>
          <w:numId w:val="25"/>
        </w:numPr>
        <w:spacing w:afterLines="50" w:after="120"/>
        <w:ind w:leftChars="0"/>
        <w:jc w:val="both"/>
        <w:rPr>
          <w:rFonts w:eastAsiaTheme="minorEastAsia"/>
          <w:sz w:val="22"/>
        </w:rPr>
      </w:pPr>
      <w:r>
        <w:rPr>
          <w:rFonts w:eastAsiaTheme="minorEastAsia" w:hint="eastAsia"/>
          <w:sz w:val="22"/>
        </w:rPr>
        <w:t>B</w:t>
      </w:r>
      <w:r>
        <w:rPr>
          <w:rFonts w:eastAsiaTheme="minorEastAsia"/>
          <w:sz w:val="22"/>
        </w:rPr>
        <w:t xml:space="preserve">D limit: </w:t>
      </w:r>
      <m:oMath>
        <m:r>
          <m:rPr>
            <m:sty m:val="p"/>
          </m:rPr>
          <w:rPr>
            <w:rFonts w:ascii="Cambria Math" w:eastAsiaTheme="minorEastAsia" w:hAnsi="Cambria Math"/>
            <w:sz w:val="22"/>
          </w:rPr>
          <m:t>min⁡</m:t>
        </m:r>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∙20∙</m:t>
            </m:r>
            <m:f>
              <m:fPr>
                <m:ctrlPr>
                  <w:rPr>
                    <w:rFonts w:ascii="Cambria Math" w:eastAsiaTheme="minorEastAsia" w:hAnsi="Cambria Math"/>
                    <w:i/>
                    <w:sz w:val="22"/>
                  </w:rPr>
                </m:ctrlPr>
              </m:fPr>
              <m:num>
                <m:r>
                  <w:rPr>
                    <w:rFonts w:ascii="Cambria Math" w:eastAsiaTheme="minorEastAsia" w:hAnsi="Cambria Math"/>
                    <w:sz w:val="22"/>
                  </w:rPr>
                  <m:t>3</m:t>
                </m:r>
              </m:num>
              <m:den>
                <m:r>
                  <w:rPr>
                    <w:rFonts w:ascii="Cambria Math" w:eastAsiaTheme="minorEastAsia" w:hAnsi="Cambria Math"/>
                    <w:sz w:val="22"/>
                  </w:rPr>
                  <m:t>3+3</m:t>
                </m:r>
              </m:den>
            </m:f>
          </m:e>
        </m:d>
        <m:r>
          <w:rPr>
            <w:rFonts w:ascii="Cambria Math" w:eastAsiaTheme="minorEastAsia" w:hAnsi="Cambria Math"/>
            <w:sz w:val="22"/>
          </w:rPr>
          <m:t>,20)</m:t>
        </m:r>
      </m:oMath>
    </w:p>
    <w:p w14:paraId="04E32B1B" w14:textId="66FD51B7" w:rsidR="007577A7" w:rsidRPr="007577A7" w:rsidRDefault="007577A7" w:rsidP="007577A7">
      <w:pPr>
        <w:pStyle w:val="afe"/>
        <w:numPr>
          <w:ilvl w:val="1"/>
          <w:numId w:val="25"/>
        </w:numPr>
        <w:spacing w:afterLines="50" w:after="120"/>
        <w:ind w:leftChars="0"/>
        <w:jc w:val="both"/>
        <w:rPr>
          <w:rFonts w:eastAsiaTheme="minorEastAsia"/>
          <w:sz w:val="22"/>
        </w:rPr>
      </w:pPr>
      <w:r>
        <w:rPr>
          <w:rFonts w:eastAsiaTheme="minorEastAsia"/>
          <w:sz w:val="22"/>
        </w:rPr>
        <w:t xml:space="preserve">CCE limit: </w:t>
      </w:r>
      <m:oMath>
        <m:r>
          <m:rPr>
            <m:sty m:val="p"/>
          </m:rPr>
          <w:rPr>
            <w:rFonts w:ascii="Cambria Math" w:eastAsiaTheme="minorEastAsia" w:hAnsi="Cambria Math"/>
            <w:sz w:val="22"/>
          </w:rPr>
          <m:t>min⁡</m:t>
        </m:r>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∙32∙</m:t>
            </m:r>
            <m:f>
              <m:fPr>
                <m:ctrlPr>
                  <w:rPr>
                    <w:rFonts w:ascii="Cambria Math" w:eastAsiaTheme="minorEastAsia" w:hAnsi="Cambria Math"/>
                    <w:i/>
                    <w:sz w:val="22"/>
                  </w:rPr>
                </m:ctrlPr>
              </m:fPr>
              <m:num>
                <m:r>
                  <w:rPr>
                    <w:rFonts w:ascii="Cambria Math" w:eastAsiaTheme="minorEastAsia" w:hAnsi="Cambria Math"/>
                    <w:sz w:val="22"/>
                  </w:rPr>
                  <m:t>3</m:t>
                </m:r>
              </m:num>
              <m:den>
                <m:r>
                  <w:rPr>
                    <w:rFonts w:ascii="Cambria Math" w:eastAsiaTheme="minorEastAsia" w:hAnsi="Cambria Math"/>
                    <w:sz w:val="22"/>
                  </w:rPr>
                  <m:t>3+3</m:t>
                </m:r>
              </m:den>
            </m:f>
          </m:e>
        </m:d>
        <m:r>
          <w:rPr>
            <w:rFonts w:ascii="Cambria Math" w:eastAsiaTheme="minorEastAsia" w:hAnsi="Cambria Math"/>
            <w:sz w:val="22"/>
          </w:rPr>
          <m:t>,32)</m:t>
        </m:r>
      </m:oMath>
    </w:p>
    <w:p w14:paraId="60006F3C" w14:textId="09EE092D" w:rsidR="00F51B63" w:rsidRPr="007577A7" w:rsidRDefault="00F51B63" w:rsidP="00D25E9A">
      <w:pPr>
        <w:spacing w:afterLines="50" w:after="120"/>
        <w:jc w:val="both"/>
        <w:rPr>
          <w:rFonts w:eastAsiaTheme="minorEastAsia"/>
          <w:sz w:val="22"/>
        </w:rPr>
      </w:pPr>
    </w:p>
    <w:p w14:paraId="0BE2C1D7" w14:textId="7B90A1CB" w:rsidR="00015509" w:rsidRDefault="007577A7" w:rsidP="00015509">
      <w:pPr>
        <w:spacing w:afterLines="50" w:after="120"/>
        <w:jc w:val="center"/>
        <w:rPr>
          <w:rFonts w:eastAsiaTheme="minorEastAsia"/>
          <w:sz w:val="22"/>
        </w:rPr>
      </w:pPr>
      <w:r w:rsidRPr="007577A7">
        <w:rPr>
          <w:rFonts w:eastAsiaTheme="minorEastAsia"/>
          <w:noProof/>
          <w:sz w:val="22"/>
          <w:lang w:val="en-US"/>
        </w:rPr>
        <w:drawing>
          <wp:inline distT="0" distB="0" distL="0" distR="0" wp14:anchorId="769BDE02" wp14:editId="3A0F284E">
            <wp:extent cx="6332220" cy="206311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2063115"/>
                    </a:xfrm>
                    <a:prstGeom prst="rect">
                      <a:avLst/>
                    </a:prstGeom>
                  </pic:spPr>
                </pic:pic>
              </a:graphicData>
            </a:graphic>
          </wp:inline>
        </w:drawing>
      </w:r>
    </w:p>
    <w:p w14:paraId="64ABAD78" w14:textId="57A0CC83" w:rsidR="00015509" w:rsidRDefault="007577A7" w:rsidP="007577A7">
      <w:pPr>
        <w:spacing w:afterLines="50" w:after="120"/>
        <w:jc w:val="center"/>
        <w:rPr>
          <w:rFonts w:eastAsiaTheme="minorEastAsia"/>
          <w:sz w:val="22"/>
        </w:rPr>
      </w:pPr>
      <w:r>
        <w:rPr>
          <w:rFonts w:eastAsiaTheme="minorEastAsia" w:hint="eastAsia"/>
          <w:sz w:val="22"/>
        </w:rPr>
        <w:t>F</w:t>
      </w:r>
      <w:r>
        <w:rPr>
          <w:rFonts w:eastAsiaTheme="minorEastAsia"/>
          <w:sz w:val="22"/>
        </w:rPr>
        <w:t>ig. 1</w:t>
      </w:r>
      <w:r>
        <w:rPr>
          <w:rFonts w:eastAsiaTheme="minorEastAsia"/>
          <w:sz w:val="22"/>
        </w:rPr>
        <w:tab/>
        <w:t>Example of CA with different numerologies between scheduling cell and scheduled cell(s).</w:t>
      </w:r>
    </w:p>
    <w:p w14:paraId="2C6BEC1D" w14:textId="77777777" w:rsidR="00D25E9A" w:rsidRPr="00D25E9A" w:rsidRDefault="00D25E9A" w:rsidP="00D25E9A">
      <w:pPr>
        <w:spacing w:afterLines="50" w:after="120"/>
        <w:jc w:val="both"/>
        <w:rPr>
          <w:rFonts w:eastAsiaTheme="minorEastAsia"/>
          <w:sz w:val="22"/>
        </w:rPr>
      </w:pPr>
    </w:p>
    <w:p w14:paraId="434DCC35" w14:textId="5431118F" w:rsidR="00D25E9A" w:rsidRPr="007577A7" w:rsidRDefault="007577A7" w:rsidP="00D25E9A">
      <w:pPr>
        <w:spacing w:afterLines="50" w:after="120"/>
        <w:jc w:val="both"/>
        <w:rPr>
          <w:rFonts w:eastAsiaTheme="minorEastAsia"/>
          <w:b/>
          <w:sz w:val="22"/>
          <w:u w:val="single"/>
        </w:rPr>
      </w:pPr>
      <w:r w:rsidRPr="007577A7">
        <w:rPr>
          <w:rFonts w:eastAsiaTheme="minorEastAsia" w:hint="eastAsia"/>
          <w:b/>
          <w:sz w:val="22"/>
          <w:u w:val="single"/>
        </w:rPr>
        <w:t>P</w:t>
      </w:r>
      <w:r w:rsidRPr="007577A7">
        <w:rPr>
          <w:rFonts w:eastAsiaTheme="minorEastAsia"/>
          <w:b/>
          <w:sz w:val="22"/>
          <w:u w:val="single"/>
        </w:rPr>
        <w:t>roposal 1:</w:t>
      </w:r>
    </w:p>
    <w:p w14:paraId="797B8724" w14:textId="06F4F957" w:rsidR="007577A7" w:rsidRPr="00096DC7" w:rsidRDefault="007577A7" w:rsidP="007577A7">
      <w:pPr>
        <w:pStyle w:val="afe"/>
        <w:numPr>
          <w:ilvl w:val="0"/>
          <w:numId w:val="26"/>
        </w:numPr>
        <w:spacing w:afterLines="50" w:after="120"/>
        <w:ind w:leftChars="0"/>
        <w:jc w:val="both"/>
        <w:rPr>
          <w:rFonts w:eastAsiaTheme="minorEastAsia"/>
          <w:i/>
          <w:sz w:val="22"/>
        </w:rPr>
      </w:pPr>
      <w:r w:rsidRPr="00096DC7">
        <w:rPr>
          <w:rFonts w:eastAsiaTheme="minorEastAsia" w:hint="eastAsia"/>
          <w:i/>
          <w:sz w:val="22"/>
        </w:rPr>
        <w:t>S</w:t>
      </w:r>
      <w:r w:rsidRPr="00096DC7">
        <w:rPr>
          <w:rFonts w:eastAsiaTheme="minorEastAsia"/>
          <w:i/>
          <w:sz w:val="22"/>
        </w:rPr>
        <w:t>upport BD/CCE limit for CA with different numerologies between scheduling cell and scheduled cell(s) with keeping the current framework of BD/CCE limit for CA.</w:t>
      </w:r>
    </w:p>
    <w:p w14:paraId="1F06415E" w14:textId="552ED27C" w:rsidR="00096DC7" w:rsidRPr="00096DC7" w:rsidRDefault="00514885" w:rsidP="00096DC7">
      <w:pPr>
        <w:pStyle w:val="afe"/>
        <w:numPr>
          <w:ilvl w:val="0"/>
          <w:numId w:val="26"/>
        </w:numPr>
        <w:spacing w:afterLines="50" w:after="120"/>
        <w:ind w:leftChars="0"/>
        <w:jc w:val="both"/>
        <w:rPr>
          <w:rFonts w:eastAsiaTheme="minorEastAsia"/>
          <w:i/>
          <w:sz w:val="22"/>
        </w:rPr>
      </w:pPr>
      <w:r w:rsidRPr="00096DC7">
        <w:rPr>
          <w:rFonts w:eastAsiaTheme="minorEastAsia" w:hint="eastAsia"/>
          <w:i/>
          <w:sz w:val="22"/>
        </w:rPr>
        <w:lastRenderedPageBreak/>
        <w:t>C</w:t>
      </w:r>
      <w:r w:rsidRPr="00096DC7">
        <w:rPr>
          <w:rFonts w:eastAsiaTheme="minorEastAsia"/>
          <w:i/>
          <w:sz w:val="22"/>
        </w:rPr>
        <w:t xml:space="preserve">hange the definition of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oMath>
      <w:r w:rsidRPr="00096DC7">
        <w:rPr>
          <w:rFonts w:eastAsiaTheme="minorEastAsia" w:hint="eastAsia"/>
          <w:i/>
          <w:sz w:val="22"/>
        </w:rPr>
        <w:t xml:space="preserve"> </w:t>
      </w:r>
      <w:r w:rsidRPr="00096DC7">
        <w:rPr>
          <w:rFonts w:eastAsiaTheme="minorEastAsia"/>
          <w:i/>
          <w:sz w:val="22"/>
        </w:rPr>
        <w:t>to “</w:t>
      </w:r>
      <w:r w:rsidR="00096DC7" w:rsidRPr="00096DC7">
        <w:rPr>
          <w:rFonts w:eastAsiaTheme="minorEastAsia"/>
          <w:i/>
          <w:sz w:val="22"/>
        </w:rPr>
        <w:t xml:space="preserve">the number of configured DL-CCs </w:t>
      </w:r>
      <w:r w:rsidR="00096DC7">
        <w:rPr>
          <w:rFonts w:eastAsiaTheme="minorEastAsia"/>
          <w:i/>
          <w:sz w:val="22"/>
        </w:rPr>
        <w:t xml:space="preserve">whose </w:t>
      </w:r>
      <w:r w:rsidR="00096DC7" w:rsidRPr="00096DC7">
        <w:rPr>
          <w:rFonts w:eastAsiaTheme="minorEastAsia"/>
          <w:i/>
          <w:sz w:val="22"/>
        </w:rPr>
        <w:t xml:space="preserve">scheduling cell </w:t>
      </w:r>
      <w:r w:rsidR="00096DC7">
        <w:rPr>
          <w:rFonts w:eastAsiaTheme="minorEastAsia"/>
          <w:i/>
          <w:sz w:val="22"/>
        </w:rPr>
        <w:t xml:space="preserve">is </w:t>
      </w:r>
      <w:r w:rsidR="00096DC7" w:rsidRPr="00096DC7">
        <w:rPr>
          <w:rFonts w:eastAsiaTheme="minorEastAsia"/>
          <w:i/>
          <w:sz w:val="22"/>
        </w:rPr>
        <w:t xml:space="preserve">with DL BWPs having SCS </w:t>
      </w:r>
      <w:proofErr w:type="gramStart"/>
      <w:r w:rsidR="00096DC7" w:rsidRPr="00096DC7">
        <w:rPr>
          <w:rFonts w:eastAsiaTheme="minorEastAsia"/>
          <w:i/>
          <w:sz w:val="22"/>
        </w:rPr>
        <w:t xml:space="preserve">configuration </w:t>
      </w:r>
      <w:proofErr w:type="gramEnd"/>
      <m:oMath>
        <m:r>
          <w:rPr>
            <w:rFonts w:ascii="Cambria Math" w:eastAsiaTheme="minorEastAsia" w:hAnsi="Cambria Math"/>
            <w:sz w:val="22"/>
          </w:rPr>
          <m:t>μ</m:t>
        </m:r>
      </m:oMath>
      <w:r w:rsidRPr="00096DC7">
        <w:rPr>
          <w:rFonts w:eastAsiaTheme="minorEastAsia"/>
          <w:i/>
          <w:sz w:val="22"/>
        </w:rPr>
        <w:t>”</w:t>
      </w:r>
      <w:r w:rsidR="00096DC7" w:rsidRPr="00096DC7">
        <w:rPr>
          <w:rFonts w:eastAsiaTheme="minorEastAsia"/>
          <w:i/>
          <w:sz w:val="22"/>
        </w:rPr>
        <w:t>.</w:t>
      </w:r>
    </w:p>
    <w:p w14:paraId="7D1345D8" w14:textId="734E50C8" w:rsidR="00846430" w:rsidRDefault="00846430" w:rsidP="00972C4A">
      <w:pPr>
        <w:spacing w:afterLines="50" w:after="120"/>
        <w:jc w:val="both"/>
        <w:rPr>
          <w:rFonts w:eastAsiaTheme="minorEastAsia"/>
          <w:sz w:val="22"/>
        </w:rPr>
      </w:pPr>
    </w:p>
    <w:p w14:paraId="5FFF2185" w14:textId="003916A5" w:rsidR="00846430" w:rsidRPr="00E8048D" w:rsidRDefault="00846430" w:rsidP="00846430">
      <w:pPr>
        <w:pStyle w:val="2"/>
        <w:rPr>
          <w:rFonts w:eastAsiaTheme="minorEastAsia"/>
          <w:b/>
          <w:lang w:val="en-US"/>
        </w:rPr>
      </w:pPr>
      <w:r w:rsidRPr="00E8048D">
        <w:rPr>
          <w:rFonts w:eastAsia="DengXian"/>
          <w:b/>
          <w:lang w:val="en-US" w:eastAsia="zh-CN"/>
        </w:rPr>
        <w:t>2.</w:t>
      </w:r>
      <w:r>
        <w:rPr>
          <w:rFonts w:eastAsia="DengXian"/>
          <w:b/>
          <w:lang w:val="en-US" w:eastAsia="zh-CN"/>
        </w:rPr>
        <w:t>2</w:t>
      </w:r>
      <w:r w:rsidRPr="00E8048D">
        <w:rPr>
          <w:rFonts w:eastAsia="DengXian"/>
          <w:b/>
          <w:lang w:val="en-US" w:eastAsia="zh-CN"/>
        </w:rPr>
        <w:tab/>
      </w:r>
      <w:r w:rsidR="00096DC7">
        <w:rPr>
          <w:rFonts w:eastAsiaTheme="minorEastAsia"/>
          <w:b/>
          <w:lang w:val="en-US"/>
        </w:rPr>
        <w:t>Other enhancements</w:t>
      </w:r>
    </w:p>
    <w:p w14:paraId="26A8EA2E" w14:textId="095744D4" w:rsidR="00D17EB3" w:rsidRDefault="001659D6" w:rsidP="00972C4A">
      <w:pPr>
        <w:spacing w:afterLines="50" w:after="120"/>
        <w:jc w:val="both"/>
        <w:rPr>
          <w:rFonts w:eastAsiaTheme="minorEastAsia"/>
          <w:sz w:val="22"/>
        </w:rPr>
      </w:pPr>
      <w:r>
        <w:rPr>
          <w:rFonts w:eastAsiaTheme="minorEastAsia"/>
          <w:sz w:val="22"/>
        </w:rPr>
        <w:t xml:space="preserve">SPS/configured grant is more attractive in case of cross-carrier scheduling with different numerologies, e.g., scheduling cell on FR1 and scheduled cell on FR2. For SPS/configured grant on a scheduled cell, PDCCH transmission for PDSCH/PUSCH is necessary only for activation/deactivation and scheduling HARQ re-transmission. Unlike the case of dynamic grant, PDCCH transmission for SPS/configured grant is much less frequent. </w:t>
      </w:r>
    </w:p>
    <w:p w14:paraId="0C164342" w14:textId="32DEC143" w:rsidR="00D17EB3" w:rsidRDefault="001659D6" w:rsidP="00972C4A">
      <w:pPr>
        <w:spacing w:afterLines="50" w:after="120"/>
        <w:jc w:val="both"/>
        <w:rPr>
          <w:rFonts w:eastAsiaTheme="minorEastAsia"/>
          <w:sz w:val="22"/>
        </w:rPr>
      </w:pPr>
      <w:r>
        <w:rPr>
          <w:rFonts w:eastAsiaTheme="minorEastAsia"/>
          <w:sz w:val="22"/>
        </w:rPr>
        <w:t>However, Rel. 15 specification does not allow cross-carrier deactivation of SPS/configured grant by DCI; for cross-carrier activation/deactivation/HARQ re-transmission of SPS/configured grant, CIF field points the serving cell where the DCI indicates, while deactivation is only possible by DCI format 0_0/1_0 which does not include CIF field</w:t>
      </w:r>
      <w:r w:rsidR="00D17EB3">
        <w:rPr>
          <w:rFonts w:eastAsiaTheme="minorEastAsia"/>
          <w:sz w:val="22"/>
        </w:rPr>
        <w:t>, as specified below</w:t>
      </w:r>
      <w:r>
        <w:rPr>
          <w:rFonts w:eastAsiaTheme="minorEastAsia"/>
          <w:sz w:val="22"/>
        </w:rPr>
        <w:t>.</w:t>
      </w:r>
    </w:p>
    <w:p w14:paraId="27112E52" w14:textId="77777777" w:rsidR="00D17EB3" w:rsidRPr="00F37F87" w:rsidRDefault="00D17EB3" w:rsidP="00D17EB3">
      <w:pPr>
        <w:pStyle w:val="TH"/>
        <w:rPr>
          <w:sz w:val="21"/>
        </w:rPr>
      </w:pPr>
      <w:r w:rsidRPr="00F37F87">
        <w:rPr>
          <w:rFonts w:cs="Arial"/>
          <w:bCs/>
          <w:sz w:val="21"/>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17EB3" w:rsidRPr="00BB208D" w14:paraId="16A3877C" w14:textId="77777777" w:rsidTr="004D34AC">
        <w:trPr>
          <w:cantSplit/>
          <w:jc w:val="center"/>
        </w:trPr>
        <w:tc>
          <w:tcPr>
            <w:tcW w:w="2250" w:type="dxa"/>
            <w:shd w:val="clear" w:color="auto" w:fill="E0E0E0"/>
            <w:vAlign w:val="center"/>
          </w:tcPr>
          <w:p w14:paraId="592AB4E9" w14:textId="77777777" w:rsidR="00D17EB3" w:rsidRPr="00B916EC" w:rsidRDefault="00D17EB3" w:rsidP="004D34AC">
            <w:pPr>
              <w:pStyle w:val="TAH"/>
            </w:pPr>
          </w:p>
        </w:tc>
        <w:tc>
          <w:tcPr>
            <w:tcW w:w="2160" w:type="dxa"/>
            <w:shd w:val="clear" w:color="auto" w:fill="E0E0E0"/>
            <w:vAlign w:val="center"/>
          </w:tcPr>
          <w:p w14:paraId="566B4687" w14:textId="77777777" w:rsidR="00D17EB3" w:rsidRPr="00B916EC" w:rsidRDefault="00D17EB3" w:rsidP="004D34AC">
            <w:pPr>
              <w:pStyle w:val="TAH"/>
            </w:pPr>
            <w:r>
              <w:t>DCI format 0_0/0_1</w:t>
            </w:r>
            <w:r w:rsidRPr="00B916EC">
              <w:t xml:space="preserve"> </w:t>
            </w:r>
          </w:p>
        </w:tc>
        <w:tc>
          <w:tcPr>
            <w:tcW w:w="2245" w:type="dxa"/>
            <w:shd w:val="clear" w:color="auto" w:fill="E0E0E0"/>
            <w:vAlign w:val="center"/>
          </w:tcPr>
          <w:p w14:paraId="6C7D9ADB" w14:textId="77777777" w:rsidR="00D17EB3" w:rsidRDefault="00D17EB3" w:rsidP="004D34AC">
            <w:pPr>
              <w:pStyle w:val="TAH"/>
            </w:pPr>
            <w:r>
              <w:t>DCI format 1_0</w:t>
            </w:r>
          </w:p>
        </w:tc>
        <w:tc>
          <w:tcPr>
            <w:tcW w:w="2610" w:type="dxa"/>
            <w:shd w:val="clear" w:color="auto" w:fill="E0E0E0"/>
            <w:vAlign w:val="center"/>
          </w:tcPr>
          <w:p w14:paraId="29AAC064" w14:textId="77777777" w:rsidR="00D17EB3" w:rsidRDefault="00D17EB3" w:rsidP="004D34AC">
            <w:pPr>
              <w:pStyle w:val="TAH"/>
            </w:pPr>
            <w:r>
              <w:t>DCI format 1_1</w:t>
            </w:r>
          </w:p>
        </w:tc>
      </w:tr>
      <w:tr w:rsidR="00D17EB3" w:rsidRPr="00BB208D" w14:paraId="03045528" w14:textId="77777777" w:rsidTr="004D34AC">
        <w:trPr>
          <w:cantSplit/>
          <w:jc w:val="center"/>
        </w:trPr>
        <w:tc>
          <w:tcPr>
            <w:tcW w:w="2250" w:type="dxa"/>
            <w:vAlign w:val="center"/>
          </w:tcPr>
          <w:p w14:paraId="1A915AA5" w14:textId="77777777" w:rsidR="00D17EB3" w:rsidRPr="00B916EC" w:rsidRDefault="00D17EB3" w:rsidP="004D34AC">
            <w:pPr>
              <w:pStyle w:val="TAC"/>
            </w:pPr>
            <w:r>
              <w:t>HARQ process number</w:t>
            </w:r>
          </w:p>
        </w:tc>
        <w:tc>
          <w:tcPr>
            <w:tcW w:w="2160" w:type="dxa"/>
            <w:vAlign w:val="center"/>
          </w:tcPr>
          <w:p w14:paraId="554F2111" w14:textId="77777777" w:rsidR="00D17EB3" w:rsidRPr="00B916EC" w:rsidRDefault="00D17EB3" w:rsidP="004D34AC">
            <w:pPr>
              <w:pStyle w:val="TAC"/>
            </w:pPr>
            <w:r>
              <w:t>set to all '0's</w:t>
            </w:r>
          </w:p>
        </w:tc>
        <w:tc>
          <w:tcPr>
            <w:tcW w:w="2245" w:type="dxa"/>
            <w:vAlign w:val="center"/>
          </w:tcPr>
          <w:p w14:paraId="57B45AB2" w14:textId="77777777" w:rsidR="00D17EB3" w:rsidRDefault="00D17EB3" w:rsidP="004D34AC">
            <w:pPr>
              <w:pStyle w:val="TAC"/>
            </w:pPr>
            <w:r>
              <w:t>set to all '0's</w:t>
            </w:r>
          </w:p>
        </w:tc>
        <w:tc>
          <w:tcPr>
            <w:tcW w:w="2610" w:type="dxa"/>
            <w:vAlign w:val="center"/>
          </w:tcPr>
          <w:p w14:paraId="3D08507B" w14:textId="77777777" w:rsidR="00D17EB3" w:rsidRDefault="00D17EB3" w:rsidP="004D34AC">
            <w:pPr>
              <w:pStyle w:val="TAC"/>
            </w:pPr>
            <w:r>
              <w:t>set to all '0's</w:t>
            </w:r>
          </w:p>
        </w:tc>
      </w:tr>
      <w:tr w:rsidR="00D17EB3" w:rsidRPr="00BB208D" w14:paraId="0EEF8AC8" w14:textId="77777777" w:rsidTr="004D34AC">
        <w:trPr>
          <w:cantSplit/>
          <w:jc w:val="center"/>
        </w:trPr>
        <w:tc>
          <w:tcPr>
            <w:tcW w:w="2250" w:type="dxa"/>
            <w:vAlign w:val="center"/>
          </w:tcPr>
          <w:p w14:paraId="5843842C" w14:textId="77777777" w:rsidR="00D17EB3" w:rsidRPr="00B916EC" w:rsidRDefault="00D17EB3" w:rsidP="004D34AC">
            <w:pPr>
              <w:pStyle w:val="TAC"/>
            </w:pPr>
            <w:r>
              <w:t>Redundancy version</w:t>
            </w:r>
          </w:p>
        </w:tc>
        <w:tc>
          <w:tcPr>
            <w:tcW w:w="2160" w:type="dxa"/>
            <w:vAlign w:val="center"/>
          </w:tcPr>
          <w:p w14:paraId="31325F02" w14:textId="77777777" w:rsidR="00D17EB3" w:rsidRPr="00B916EC" w:rsidRDefault="00D17EB3" w:rsidP="004D34AC">
            <w:pPr>
              <w:pStyle w:val="TAC"/>
            </w:pPr>
            <w:r>
              <w:t>set to '00'</w:t>
            </w:r>
          </w:p>
        </w:tc>
        <w:tc>
          <w:tcPr>
            <w:tcW w:w="2245" w:type="dxa"/>
            <w:vAlign w:val="center"/>
          </w:tcPr>
          <w:p w14:paraId="7473A418" w14:textId="77777777" w:rsidR="00D17EB3" w:rsidRDefault="00D17EB3" w:rsidP="004D34AC">
            <w:pPr>
              <w:pStyle w:val="TAC"/>
            </w:pPr>
            <w:r>
              <w:t>set to '00'</w:t>
            </w:r>
          </w:p>
        </w:tc>
        <w:tc>
          <w:tcPr>
            <w:tcW w:w="2610" w:type="dxa"/>
            <w:vAlign w:val="center"/>
          </w:tcPr>
          <w:p w14:paraId="136B1ACB" w14:textId="77777777" w:rsidR="00D17EB3" w:rsidRDefault="00D17EB3" w:rsidP="004D34AC">
            <w:pPr>
              <w:pStyle w:val="TAC"/>
            </w:pPr>
            <w:r>
              <w:t>For the enabled transport block: set to '00'</w:t>
            </w:r>
          </w:p>
        </w:tc>
      </w:tr>
    </w:tbl>
    <w:p w14:paraId="16ABD481" w14:textId="77777777" w:rsidR="00D17EB3" w:rsidRDefault="00D17EB3" w:rsidP="00D17EB3">
      <w:pPr>
        <w:jc w:val="both"/>
        <w:rPr>
          <w:rFonts w:ascii="DengXian" w:eastAsia="DengXian" w:hAnsi="DengXian" w:cs="Calibri"/>
          <w:sz w:val="21"/>
          <w:szCs w:val="21"/>
          <w:lang w:eastAsia="zh-CN"/>
        </w:rPr>
      </w:pPr>
    </w:p>
    <w:p w14:paraId="59041508" w14:textId="77777777" w:rsidR="00D17EB3" w:rsidRPr="00F37F87" w:rsidRDefault="00D17EB3" w:rsidP="00D17EB3">
      <w:pPr>
        <w:pStyle w:val="TH"/>
        <w:rPr>
          <w:sz w:val="21"/>
          <w:lang w:eastAsia="zh-CN"/>
        </w:rPr>
      </w:pPr>
      <w:r w:rsidRPr="00F37F87">
        <w:rPr>
          <w:sz w:val="21"/>
          <w:lang w:eastAsia="zh-CN"/>
        </w:rPr>
        <w:t xml:space="preserve">Table 10.2-2: Special fields for DL SPS and UL grant Type 2 scheduling </w:t>
      </w:r>
      <w:r w:rsidRPr="00F37F87">
        <w:rPr>
          <w:sz w:val="21"/>
          <w:highlight w:val="yellow"/>
          <w:lang w:eastAsia="zh-CN"/>
        </w:rPr>
        <w:t>release</w:t>
      </w:r>
      <w:r w:rsidRPr="00F37F87">
        <w:rPr>
          <w:sz w:val="21"/>
          <w:lang w:eastAsia="zh-CN"/>
        </w:rPr>
        <w:t xml:space="preserv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0"/>
        <w:gridCol w:w="2160"/>
        <w:gridCol w:w="2060"/>
      </w:tblGrid>
      <w:tr w:rsidR="00D17EB3" w:rsidRPr="00BB208D" w14:paraId="4CDAF987" w14:textId="77777777" w:rsidTr="004D34AC">
        <w:trPr>
          <w:cantSplit/>
          <w:jc w:val="center"/>
        </w:trPr>
        <w:tc>
          <w:tcPr>
            <w:tcW w:w="3430" w:type="dxa"/>
            <w:shd w:val="clear" w:color="auto" w:fill="E0E0E0"/>
            <w:vAlign w:val="center"/>
          </w:tcPr>
          <w:p w14:paraId="0CA7A847" w14:textId="77777777" w:rsidR="00D17EB3" w:rsidRPr="00B916EC" w:rsidRDefault="00D17EB3" w:rsidP="004D34AC">
            <w:pPr>
              <w:pStyle w:val="TAH"/>
            </w:pPr>
          </w:p>
        </w:tc>
        <w:tc>
          <w:tcPr>
            <w:tcW w:w="2160" w:type="dxa"/>
            <w:shd w:val="clear" w:color="auto" w:fill="E0E0E0"/>
            <w:vAlign w:val="center"/>
          </w:tcPr>
          <w:p w14:paraId="16EF7381" w14:textId="77777777" w:rsidR="00D17EB3" w:rsidRPr="00F37F87" w:rsidRDefault="00D17EB3" w:rsidP="004D34AC">
            <w:pPr>
              <w:pStyle w:val="TAH"/>
              <w:rPr>
                <w:highlight w:val="yellow"/>
              </w:rPr>
            </w:pPr>
            <w:r w:rsidRPr="00F37F87">
              <w:rPr>
                <w:highlight w:val="yellow"/>
              </w:rPr>
              <w:t xml:space="preserve">DCI format 0_0 </w:t>
            </w:r>
          </w:p>
        </w:tc>
        <w:tc>
          <w:tcPr>
            <w:tcW w:w="2060" w:type="dxa"/>
            <w:shd w:val="clear" w:color="auto" w:fill="E0E0E0"/>
            <w:vAlign w:val="center"/>
          </w:tcPr>
          <w:p w14:paraId="7B2EC8D1" w14:textId="77777777" w:rsidR="00D17EB3" w:rsidRDefault="00D17EB3" w:rsidP="004D34AC">
            <w:pPr>
              <w:pStyle w:val="TAH"/>
            </w:pPr>
            <w:r w:rsidRPr="00F37F87">
              <w:rPr>
                <w:highlight w:val="yellow"/>
              </w:rPr>
              <w:t>DCI format 1_0</w:t>
            </w:r>
          </w:p>
        </w:tc>
      </w:tr>
      <w:tr w:rsidR="00D17EB3" w:rsidRPr="00BB208D" w14:paraId="34A35FE4" w14:textId="77777777" w:rsidTr="004D34AC">
        <w:trPr>
          <w:cantSplit/>
          <w:jc w:val="center"/>
        </w:trPr>
        <w:tc>
          <w:tcPr>
            <w:tcW w:w="3430" w:type="dxa"/>
            <w:vAlign w:val="center"/>
          </w:tcPr>
          <w:p w14:paraId="07A396C6" w14:textId="77777777" w:rsidR="00D17EB3" w:rsidRPr="00B916EC" w:rsidRDefault="00D17EB3" w:rsidP="004D34AC">
            <w:pPr>
              <w:pStyle w:val="TAC"/>
            </w:pPr>
            <w:r>
              <w:t>HARQ process number</w:t>
            </w:r>
          </w:p>
        </w:tc>
        <w:tc>
          <w:tcPr>
            <w:tcW w:w="2160" w:type="dxa"/>
            <w:vAlign w:val="center"/>
          </w:tcPr>
          <w:p w14:paraId="29DBDE88" w14:textId="77777777" w:rsidR="00D17EB3" w:rsidRPr="00B916EC" w:rsidRDefault="00D17EB3" w:rsidP="004D34AC">
            <w:pPr>
              <w:pStyle w:val="TAC"/>
            </w:pPr>
            <w:r>
              <w:t>set to all '0's</w:t>
            </w:r>
          </w:p>
        </w:tc>
        <w:tc>
          <w:tcPr>
            <w:tcW w:w="2060" w:type="dxa"/>
            <w:vAlign w:val="center"/>
          </w:tcPr>
          <w:p w14:paraId="72F4CE83" w14:textId="77777777" w:rsidR="00D17EB3" w:rsidRDefault="00D17EB3" w:rsidP="004D34AC">
            <w:pPr>
              <w:pStyle w:val="TAC"/>
            </w:pPr>
            <w:r>
              <w:t>set to all '0's</w:t>
            </w:r>
          </w:p>
        </w:tc>
      </w:tr>
      <w:tr w:rsidR="00D17EB3" w:rsidRPr="00BB208D" w14:paraId="03752977" w14:textId="77777777" w:rsidTr="004D34AC">
        <w:trPr>
          <w:cantSplit/>
          <w:jc w:val="center"/>
        </w:trPr>
        <w:tc>
          <w:tcPr>
            <w:tcW w:w="3430" w:type="dxa"/>
            <w:vAlign w:val="center"/>
          </w:tcPr>
          <w:p w14:paraId="7AA281AB" w14:textId="77777777" w:rsidR="00D17EB3" w:rsidRPr="00B916EC" w:rsidRDefault="00D17EB3" w:rsidP="004D34AC">
            <w:pPr>
              <w:pStyle w:val="TAC"/>
            </w:pPr>
            <w:r>
              <w:t>Redundancy version</w:t>
            </w:r>
          </w:p>
        </w:tc>
        <w:tc>
          <w:tcPr>
            <w:tcW w:w="2160" w:type="dxa"/>
            <w:vAlign w:val="center"/>
          </w:tcPr>
          <w:p w14:paraId="47558724" w14:textId="77777777" w:rsidR="00D17EB3" w:rsidRPr="00B916EC" w:rsidRDefault="00D17EB3" w:rsidP="004D34AC">
            <w:pPr>
              <w:pStyle w:val="TAC"/>
            </w:pPr>
            <w:r>
              <w:t>set to '00'</w:t>
            </w:r>
          </w:p>
        </w:tc>
        <w:tc>
          <w:tcPr>
            <w:tcW w:w="2060" w:type="dxa"/>
            <w:vAlign w:val="center"/>
          </w:tcPr>
          <w:p w14:paraId="372E3A09" w14:textId="77777777" w:rsidR="00D17EB3" w:rsidRDefault="00D17EB3" w:rsidP="004D34AC">
            <w:pPr>
              <w:pStyle w:val="TAC"/>
            </w:pPr>
            <w:r>
              <w:t>set to '00'</w:t>
            </w:r>
          </w:p>
        </w:tc>
      </w:tr>
      <w:tr w:rsidR="00D17EB3" w:rsidRPr="00BB208D" w14:paraId="65898F65" w14:textId="77777777" w:rsidTr="004D34AC">
        <w:trPr>
          <w:cantSplit/>
          <w:jc w:val="center"/>
        </w:trPr>
        <w:tc>
          <w:tcPr>
            <w:tcW w:w="3430" w:type="dxa"/>
            <w:vAlign w:val="center"/>
          </w:tcPr>
          <w:p w14:paraId="40C46491" w14:textId="77777777" w:rsidR="00D17EB3" w:rsidRDefault="00D17EB3" w:rsidP="004D34AC">
            <w:pPr>
              <w:pStyle w:val="TAC"/>
            </w:pPr>
            <w:r>
              <w:t>Modulation and coding scheme</w:t>
            </w:r>
          </w:p>
        </w:tc>
        <w:tc>
          <w:tcPr>
            <w:tcW w:w="2160" w:type="dxa"/>
            <w:vAlign w:val="center"/>
          </w:tcPr>
          <w:p w14:paraId="4952DA34" w14:textId="77777777" w:rsidR="00D17EB3" w:rsidRDefault="00D17EB3" w:rsidP="004D34AC">
            <w:pPr>
              <w:pStyle w:val="TAC"/>
            </w:pPr>
            <w:r>
              <w:t>set to all '1's</w:t>
            </w:r>
          </w:p>
        </w:tc>
        <w:tc>
          <w:tcPr>
            <w:tcW w:w="2060" w:type="dxa"/>
            <w:vAlign w:val="center"/>
          </w:tcPr>
          <w:p w14:paraId="0A89DA54" w14:textId="77777777" w:rsidR="00D17EB3" w:rsidRDefault="00D17EB3" w:rsidP="004D34AC">
            <w:pPr>
              <w:pStyle w:val="TAC"/>
            </w:pPr>
            <w:r>
              <w:t>set to all '1's</w:t>
            </w:r>
          </w:p>
        </w:tc>
      </w:tr>
      <w:tr w:rsidR="00D17EB3" w:rsidRPr="00BB208D" w14:paraId="59EF9FA2" w14:textId="77777777" w:rsidTr="004D34AC">
        <w:trPr>
          <w:cantSplit/>
          <w:jc w:val="center"/>
        </w:trPr>
        <w:tc>
          <w:tcPr>
            <w:tcW w:w="3430" w:type="dxa"/>
            <w:vAlign w:val="center"/>
          </w:tcPr>
          <w:p w14:paraId="694F0F73" w14:textId="73F829A4" w:rsidR="00D17EB3" w:rsidRDefault="00D17EB3" w:rsidP="004D34AC">
            <w:pPr>
              <w:pStyle w:val="TAC"/>
            </w:pPr>
            <w:r>
              <w:t>Frequency domain resource assignment</w:t>
            </w:r>
          </w:p>
        </w:tc>
        <w:tc>
          <w:tcPr>
            <w:tcW w:w="2160" w:type="dxa"/>
            <w:vAlign w:val="center"/>
          </w:tcPr>
          <w:p w14:paraId="19108EFD" w14:textId="77777777" w:rsidR="00D17EB3" w:rsidRDefault="00D17EB3" w:rsidP="004D34AC">
            <w:pPr>
              <w:pStyle w:val="TAC"/>
            </w:pPr>
            <w:r>
              <w:t>set to all '1's</w:t>
            </w:r>
          </w:p>
        </w:tc>
        <w:tc>
          <w:tcPr>
            <w:tcW w:w="2060" w:type="dxa"/>
            <w:vAlign w:val="center"/>
          </w:tcPr>
          <w:p w14:paraId="2B4A3C14" w14:textId="77777777" w:rsidR="00D17EB3" w:rsidRDefault="00D17EB3" w:rsidP="004D34AC">
            <w:pPr>
              <w:pStyle w:val="TAC"/>
            </w:pPr>
            <w:r>
              <w:t>set to all '1's</w:t>
            </w:r>
          </w:p>
        </w:tc>
      </w:tr>
    </w:tbl>
    <w:p w14:paraId="69C54A5F" w14:textId="77777777" w:rsidR="00D17EB3" w:rsidRDefault="00D17EB3" w:rsidP="00972C4A">
      <w:pPr>
        <w:spacing w:afterLines="50" w:after="120"/>
        <w:jc w:val="both"/>
        <w:rPr>
          <w:rFonts w:eastAsiaTheme="minorEastAsia"/>
          <w:sz w:val="22"/>
        </w:rPr>
      </w:pPr>
    </w:p>
    <w:p w14:paraId="2AE2C8E4" w14:textId="77777777" w:rsidR="00D17EB3" w:rsidRDefault="001659D6" w:rsidP="00972C4A">
      <w:pPr>
        <w:spacing w:afterLines="50" w:after="120"/>
        <w:jc w:val="both"/>
        <w:rPr>
          <w:rFonts w:eastAsiaTheme="minorEastAsia"/>
          <w:sz w:val="22"/>
        </w:rPr>
      </w:pPr>
      <w:r>
        <w:rPr>
          <w:rFonts w:eastAsiaTheme="minorEastAsia"/>
          <w:sz w:val="22"/>
        </w:rPr>
        <w:t>Simple solution to resolve this problem should be supported, e.g</w:t>
      </w:r>
      <w:proofErr w:type="gramStart"/>
      <w:r>
        <w:rPr>
          <w:rFonts w:eastAsiaTheme="minorEastAsia"/>
          <w:sz w:val="22"/>
        </w:rPr>
        <w:t>.,</w:t>
      </w:r>
      <w:r w:rsidR="00D17EB3">
        <w:rPr>
          <w:rFonts w:eastAsiaTheme="minorEastAsia"/>
          <w:sz w:val="22"/>
        </w:rPr>
        <w:t>;</w:t>
      </w:r>
      <w:proofErr w:type="gramEnd"/>
    </w:p>
    <w:p w14:paraId="428FABB2" w14:textId="77777777" w:rsidR="00D17EB3" w:rsidRDefault="00D17EB3" w:rsidP="00D17EB3">
      <w:pPr>
        <w:pStyle w:val="afe"/>
        <w:numPr>
          <w:ilvl w:val="0"/>
          <w:numId w:val="25"/>
        </w:numPr>
        <w:spacing w:afterLines="50" w:after="120"/>
        <w:ind w:leftChars="0"/>
        <w:jc w:val="both"/>
        <w:rPr>
          <w:rFonts w:eastAsiaTheme="minorEastAsia"/>
          <w:sz w:val="22"/>
        </w:rPr>
      </w:pPr>
      <w:r>
        <w:rPr>
          <w:rFonts w:eastAsiaTheme="minorEastAsia"/>
          <w:sz w:val="22"/>
        </w:rPr>
        <w:t>E</w:t>
      </w:r>
      <w:r w:rsidR="001659D6" w:rsidRPr="00F37F87">
        <w:rPr>
          <w:rFonts w:eastAsiaTheme="minorEastAsia"/>
          <w:sz w:val="22"/>
        </w:rPr>
        <w:t xml:space="preserve">nabling deactivation by DCI </w:t>
      </w:r>
      <w:r w:rsidRPr="00F37F87">
        <w:rPr>
          <w:rFonts w:eastAsiaTheme="minorEastAsia"/>
          <w:sz w:val="22"/>
        </w:rPr>
        <w:t xml:space="preserve">format </w:t>
      </w:r>
      <w:r w:rsidR="001659D6" w:rsidRPr="00F37F87">
        <w:rPr>
          <w:rFonts w:eastAsiaTheme="minorEastAsia"/>
          <w:sz w:val="22"/>
        </w:rPr>
        <w:t>0_1/1_1</w:t>
      </w:r>
    </w:p>
    <w:p w14:paraId="1D77BA4F" w14:textId="1CBAA1C2" w:rsidR="001659D6" w:rsidRPr="00F37F87" w:rsidRDefault="000E690D" w:rsidP="00F37F87">
      <w:pPr>
        <w:pStyle w:val="afe"/>
        <w:numPr>
          <w:ilvl w:val="0"/>
          <w:numId w:val="25"/>
        </w:numPr>
        <w:spacing w:afterLines="50" w:after="120"/>
        <w:ind w:leftChars="0"/>
        <w:jc w:val="both"/>
        <w:rPr>
          <w:rFonts w:eastAsiaTheme="minorEastAsia"/>
          <w:sz w:val="22"/>
        </w:rPr>
      </w:pPr>
      <w:r w:rsidRPr="00F37F87">
        <w:rPr>
          <w:rFonts w:eastAsiaTheme="minorEastAsia"/>
          <w:sz w:val="22"/>
        </w:rPr>
        <w:t>DCI 0_0/1_0 indicating deactivation of SPS/configured grant in a serving cell deactivates SPS/configured grant on all the serving cells scheduled by the serving cell</w:t>
      </w:r>
      <w:r w:rsidR="001659D6" w:rsidRPr="00F37F87">
        <w:rPr>
          <w:rFonts w:eastAsiaTheme="minorEastAsia"/>
          <w:sz w:val="22"/>
        </w:rPr>
        <w:t xml:space="preserve"> </w:t>
      </w:r>
    </w:p>
    <w:p w14:paraId="270F0DA1" w14:textId="77777777" w:rsidR="00D17EB3" w:rsidRDefault="00D17EB3" w:rsidP="00972C4A">
      <w:pPr>
        <w:spacing w:afterLines="50" w:after="120"/>
        <w:jc w:val="both"/>
        <w:rPr>
          <w:rFonts w:eastAsiaTheme="minorEastAsia"/>
          <w:sz w:val="22"/>
        </w:rPr>
      </w:pPr>
    </w:p>
    <w:p w14:paraId="27C09833" w14:textId="2466362D" w:rsidR="000E690D" w:rsidRDefault="000E690D" w:rsidP="00972C4A">
      <w:pPr>
        <w:spacing w:afterLines="50" w:after="120"/>
        <w:jc w:val="both"/>
        <w:rPr>
          <w:rFonts w:eastAsiaTheme="minorEastAsia"/>
          <w:sz w:val="22"/>
        </w:rPr>
      </w:pPr>
      <w:r>
        <w:rPr>
          <w:rFonts w:eastAsiaTheme="minorEastAsia" w:hint="eastAsia"/>
          <w:sz w:val="22"/>
        </w:rPr>
        <w:t>A</w:t>
      </w:r>
      <w:r>
        <w:rPr>
          <w:rFonts w:eastAsiaTheme="minorEastAsia"/>
          <w:sz w:val="22"/>
        </w:rPr>
        <w:t xml:space="preserve">nother problem of cross-carrier scheduling is </w:t>
      </w:r>
      <w:proofErr w:type="spellStart"/>
      <w:r w:rsidRPr="00F37F87">
        <w:rPr>
          <w:rFonts w:eastAsiaTheme="minorEastAsia"/>
          <w:i/>
          <w:sz w:val="22"/>
        </w:rPr>
        <w:t>tci-PresentInDCI</w:t>
      </w:r>
      <w:proofErr w:type="spellEnd"/>
      <w:r>
        <w:rPr>
          <w:rFonts w:eastAsiaTheme="minorEastAsia"/>
          <w:sz w:val="22"/>
        </w:rPr>
        <w:t xml:space="preserve">. As per RAN1#95 agreements, </w:t>
      </w:r>
      <w:proofErr w:type="spellStart"/>
      <w:r w:rsidRPr="00F37F87">
        <w:rPr>
          <w:rFonts w:eastAsiaTheme="minorEastAsia"/>
          <w:i/>
          <w:sz w:val="22"/>
        </w:rPr>
        <w:t>tci-PresentInDCI</w:t>
      </w:r>
      <w:proofErr w:type="spellEnd"/>
      <w:r>
        <w:rPr>
          <w:rFonts w:eastAsiaTheme="minorEastAsia"/>
          <w:sz w:val="22"/>
        </w:rPr>
        <w:t xml:space="preserve"> needs to be always enabled and default TCI-state for cross-carrier scheduled PDSCH cannot be used for cross-carrier scheduling. </w:t>
      </w:r>
      <w:r w:rsidR="00895DB4">
        <w:rPr>
          <w:rFonts w:eastAsiaTheme="minorEastAsia"/>
          <w:sz w:val="22"/>
        </w:rPr>
        <w:t xml:space="preserve">As a consequence, time difference between the PDCCH and the scheduled PDSCH needs to be larger than a certain threshold. If the scheduled cell is FR2, the threshold </w:t>
      </w:r>
      <w:r w:rsidR="00D17EB3">
        <w:rPr>
          <w:rFonts w:eastAsiaTheme="minorEastAsia"/>
          <w:sz w:val="22"/>
        </w:rPr>
        <w:t xml:space="preserve">for TCI-state indication </w:t>
      </w:r>
      <w:r w:rsidR="00895DB4">
        <w:rPr>
          <w:rFonts w:eastAsiaTheme="minorEastAsia"/>
          <w:sz w:val="22"/>
        </w:rPr>
        <w:t xml:space="preserve">is not less than </w:t>
      </w:r>
      <w:proofErr w:type="gramStart"/>
      <w:r w:rsidR="00895DB4">
        <w:rPr>
          <w:rFonts w:eastAsiaTheme="minorEastAsia"/>
          <w:sz w:val="22"/>
        </w:rPr>
        <w:t>a slot</w:t>
      </w:r>
      <w:proofErr w:type="gramEnd"/>
      <w:r w:rsidR="00895DB4">
        <w:rPr>
          <w:rFonts w:eastAsiaTheme="minorEastAsia"/>
          <w:sz w:val="22"/>
        </w:rPr>
        <w:t xml:space="preserve"> duration. Therefore, cross-slot scheduling is indeed necessary for cross-carrier scheduling</w:t>
      </w:r>
      <w:r w:rsidR="00D17EB3">
        <w:rPr>
          <w:rFonts w:eastAsiaTheme="minorEastAsia"/>
          <w:sz w:val="22"/>
        </w:rPr>
        <w:t xml:space="preserve"> at</w:t>
      </w:r>
      <w:r w:rsidR="00895DB4">
        <w:rPr>
          <w:rFonts w:eastAsiaTheme="minorEastAsia"/>
          <w:sz w:val="22"/>
        </w:rPr>
        <w:t xml:space="preserve"> FR2.</w:t>
      </w:r>
      <w:r w:rsidR="00895DB4" w:rsidRPr="00895DB4">
        <w:rPr>
          <w:rFonts w:eastAsiaTheme="minorEastAsia"/>
          <w:sz w:val="22"/>
        </w:rPr>
        <w:t xml:space="preserve"> </w:t>
      </w:r>
      <w:r w:rsidR="00895DB4">
        <w:rPr>
          <w:rFonts w:eastAsiaTheme="minorEastAsia"/>
          <w:sz w:val="22"/>
        </w:rPr>
        <w:t>Rel.15 NR is not optimal for CA with different numerologies in various aspects, e.g., PDSCH processing time, PUSCH preparation time, PDCCH/PUCCH procedures, number of HARQ processes per serving cell, PUCCH for HARQ-ACK cannot be more than one per slot, etc. Considering the TU is limited, fixing many issues would be difficult, but resolve some problems can be considered.</w:t>
      </w:r>
    </w:p>
    <w:p w14:paraId="725742E7" w14:textId="045AD3D4" w:rsidR="00895DB4" w:rsidRPr="00F37F87" w:rsidRDefault="00895DB4" w:rsidP="00972C4A">
      <w:pPr>
        <w:spacing w:afterLines="50" w:after="120"/>
        <w:jc w:val="both"/>
        <w:rPr>
          <w:rFonts w:eastAsiaTheme="minorEastAsia"/>
          <w:b/>
          <w:sz w:val="22"/>
          <w:u w:val="single"/>
        </w:rPr>
      </w:pPr>
      <w:r w:rsidRPr="00F37F87">
        <w:rPr>
          <w:rFonts w:eastAsiaTheme="minorEastAsia"/>
          <w:b/>
          <w:sz w:val="22"/>
          <w:u w:val="single"/>
        </w:rPr>
        <w:t>Proposal 2:</w:t>
      </w:r>
    </w:p>
    <w:p w14:paraId="2B7D2FAD" w14:textId="3C9C25AC" w:rsidR="00895DB4" w:rsidRPr="00F37F87" w:rsidRDefault="00895DB4" w:rsidP="00895DB4">
      <w:pPr>
        <w:pStyle w:val="afe"/>
        <w:numPr>
          <w:ilvl w:val="0"/>
          <w:numId w:val="27"/>
        </w:numPr>
        <w:spacing w:afterLines="50" w:after="120"/>
        <w:ind w:leftChars="0"/>
        <w:jc w:val="both"/>
        <w:rPr>
          <w:rFonts w:eastAsiaTheme="minorEastAsia"/>
          <w:i/>
          <w:sz w:val="22"/>
        </w:rPr>
      </w:pPr>
      <w:r w:rsidRPr="00F37F87">
        <w:rPr>
          <w:rFonts w:eastAsiaTheme="minorEastAsia"/>
          <w:i/>
          <w:sz w:val="22"/>
        </w:rPr>
        <w:t>Enable cross-carrier deactivation of SPS/configured grant.</w:t>
      </w:r>
    </w:p>
    <w:p w14:paraId="4D5E15BE" w14:textId="27158F99" w:rsidR="00895DB4" w:rsidRPr="00F37F87" w:rsidRDefault="00895DB4" w:rsidP="00895DB4">
      <w:pPr>
        <w:pStyle w:val="afe"/>
        <w:numPr>
          <w:ilvl w:val="1"/>
          <w:numId w:val="27"/>
        </w:numPr>
        <w:spacing w:afterLines="50" w:after="120"/>
        <w:ind w:leftChars="0"/>
        <w:jc w:val="both"/>
        <w:rPr>
          <w:rFonts w:eastAsiaTheme="minorEastAsia"/>
          <w:i/>
          <w:sz w:val="22"/>
        </w:rPr>
      </w:pPr>
      <w:r w:rsidRPr="00F37F87">
        <w:rPr>
          <w:rFonts w:eastAsiaTheme="minorEastAsia"/>
          <w:i/>
          <w:sz w:val="22"/>
        </w:rPr>
        <w:t>Opt.1: Support deactivation of SPS/configured grant by DCI format 0_1/1_1.</w:t>
      </w:r>
    </w:p>
    <w:p w14:paraId="0132B8DA" w14:textId="07103B12" w:rsidR="00895DB4" w:rsidRPr="00F37F87" w:rsidRDefault="00895DB4" w:rsidP="00895DB4">
      <w:pPr>
        <w:pStyle w:val="afe"/>
        <w:numPr>
          <w:ilvl w:val="1"/>
          <w:numId w:val="27"/>
        </w:numPr>
        <w:spacing w:afterLines="50" w:after="120"/>
        <w:ind w:leftChars="0"/>
        <w:jc w:val="both"/>
        <w:rPr>
          <w:rFonts w:eastAsiaTheme="minorEastAsia"/>
          <w:i/>
          <w:sz w:val="22"/>
        </w:rPr>
      </w:pPr>
      <w:r w:rsidRPr="00F37F87">
        <w:rPr>
          <w:rFonts w:eastAsiaTheme="minorEastAsia"/>
          <w:i/>
          <w:sz w:val="22"/>
        </w:rPr>
        <w:t>Opt.2: DCI format 0_0/1_0 indicating deactivation of SPS/configured grant on a serving cell deactivates SPS/configured grant on all the scheduled cells.</w:t>
      </w:r>
    </w:p>
    <w:p w14:paraId="14B6D731" w14:textId="75B63A3D" w:rsidR="00895DB4" w:rsidRPr="00F37F87" w:rsidRDefault="00895DB4" w:rsidP="00895DB4">
      <w:pPr>
        <w:pStyle w:val="afe"/>
        <w:numPr>
          <w:ilvl w:val="0"/>
          <w:numId w:val="27"/>
        </w:numPr>
        <w:spacing w:afterLines="50" w:after="120"/>
        <w:ind w:leftChars="0"/>
        <w:jc w:val="both"/>
        <w:rPr>
          <w:rFonts w:eastAsiaTheme="minorEastAsia"/>
          <w:i/>
          <w:sz w:val="22"/>
        </w:rPr>
      </w:pPr>
      <w:r w:rsidRPr="00F37F87">
        <w:rPr>
          <w:rFonts w:eastAsiaTheme="minorEastAsia"/>
          <w:i/>
          <w:sz w:val="22"/>
        </w:rPr>
        <w:t>Consider to resolve restrictive aspects of cross-carrier scheduling with different numerologies.</w:t>
      </w:r>
    </w:p>
    <w:p w14:paraId="153FD8B1" w14:textId="650CED75" w:rsidR="00895DB4" w:rsidRPr="00F37F87" w:rsidRDefault="00895DB4" w:rsidP="00F37F87">
      <w:pPr>
        <w:pStyle w:val="afe"/>
        <w:numPr>
          <w:ilvl w:val="1"/>
          <w:numId w:val="27"/>
        </w:numPr>
        <w:spacing w:afterLines="50" w:after="120"/>
        <w:ind w:leftChars="0"/>
        <w:jc w:val="both"/>
        <w:rPr>
          <w:rFonts w:eastAsiaTheme="minorEastAsia"/>
          <w:i/>
          <w:sz w:val="22"/>
        </w:rPr>
      </w:pPr>
      <w:r w:rsidRPr="00F37F87">
        <w:rPr>
          <w:rFonts w:eastAsiaTheme="minorEastAsia"/>
          <w:i/>
          <w:sz w:val="22"/>
        </w:rPr>
        <w:t xml:space="preserve">E.g., consider to enable cross-carrier scheduling without </w:t>
      </w:r>
      <w:proofErr w:type="spellStart"/>
      <w:r w:rsidRPr="00F37F87">
        <w:rPr>
          <w:rFonts w:eastAsiaTheme="minorEastAsia"/>
          <w:i/>
          <w:sz w:val="22"/>
        </w:rPr>
        <w:t>tci-PresentInDCI</w:t>
      </w:r>
      <w:proofErr w:type="spellEnd"/>
      <w:r w:rsidRPr="00F37F87">
        <w:rPr>
          <w:rFonts w:eastAsiaTheme="minorEastAsia"/>
          <w:i/>
          <w:sz w:val="22"/>
        </w:rPr>
        <w:t>.</w:t>
      </w:r>
    </w:p>
    <w:p w14:paraId="04B6ECE4" w14:textId="77777777" w:rsidR="00F972D0" w:rsidRPr="00895DB4" w:rsidRDefault="00F972D0" w:rsidP="00972C4A">
      <w:pPr>
        <w:spacing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36E1172" w14:textId="134EA25C" w:rsidR="008D360C" w:rsidRPr="008D360C" w:rsidRDefault="006E1683" w:rsidP="008D360C">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the </w:t>
      </w:r>
      <w:r w:rsidR="00CB09E2">
        <w:rPr>
          <w:rFonts w:eastAsia="SimSun"/>
          <w:sz w:val="22"/>
          <w:szCs w:val="22"/>
          <w:lang w:eastAsia="zh-CN"/>
        </w:rPr>
        <w:t xml:space="preserve">limits of PDCCH BDs/CCEs </w:t>
      </w:r>
      <w:r w:rsidR="00604467">
        <w:rPr>
          <w:rFonts w:eastAsia="SimSun"/>
          <w:sz w:val="22"/>
          <w:szCs w:val="22"/>
          <w:lang w:eastAsia="zh-CN"/>
        </w:rPr>
        <w:t xml:space="preserve">limits for </w:t>
      </w:r>
      <w:r w:rsidR="00604467">
        <w:rPr>
          <w:rFonts w:eastAsiaTheme="minorEastAsia"/>
          <w:sz w:val="22"/>
        </w:rPr>
        <w:t>cross-carrier scheduling with different numerologies</w:t>
      </w:r>
      <w:r w:rsidR="00604467">
        <w:rPr>
          <w:rFonts w:eastAsia="SimSun"/>
          <w:sz w:val="22"/>
          <w:szCs w:val="22"/>
          <w:lang w:eastAsia="zh-CN"/>
        </w:rPr>
        <w:t xml:space="preserve"> </w:t>
      </w:r>
      <w:r w:rsidR="00CB09E2">
        <w:rPr>
          <w:rFonts w:eastAsia="SimSun" w:hint="eastAsia"/>
          <w:sz w:val="22"/>
          <w:szCs w:val="22"/>
          <w:lang w:eastAsia="zh-CN"/>
        </w:rPr>
        <w:t>and proposed following:</w:t>
      </w:r>
    </w:p>
    <w:p w14:paraId="60A04576" w14:textId="77777777" w:rsidR="008D360C" w:rsidRPr="007577A7" w:rsidRDefault="008D360C" w:rsidP="008D360C">
      <w:pPr>
        <w:spacing w:afterLines="50" w:after="120"/>
        <w:jc w:val="both"/>
        <w:rPr>
          <w:rFonts w:eastAsiaTheme="minorEastAsia"/>
          <w:b/>
          <w:sz w:val="22"/>
          <w:u w:val="single"/>
        </w:rPr>
      </w:pPr>
      <w:r w:rsidRPr="007577A7">
        <w:rPr>
          <w:rFonts w:eastAsiaTheme="minorEastAsia" w:hint="eastAsia"/>
          <w:b/>
          <w:sz w:val="22"/>
          <w:u w:val="single"/>
        </w:rPr>
        <w:t>P</w:t>
      </w:r>
      <w:r w:rsidRPr="007577A7">
        <w:rPr>
          <w:rFonts w:eastAsiaTheme="minorEastAsia"/>
          <w:b/>
          <w:sz w:val="22"/>
          <w:u w:val="single"/>
        </w:rPr>
        <w:t>roposal 1:</w:t>
      </w:r>
    </w:p>
    <w:p w14:paraId="7F95B43A" w14:textId="77777777" w:rsidR="008D360C" w:rsidRPr="00096DC7" w:rsidRDefault="008D360C" w:rsidP="008D360C">
      <w:pPr>
        <w:pStyle w:val="afe"/>
        <w:numPr>
          <w:ilvl w:val="0"/>
          <w:numId w:val="26"/>
        </w:numPr>
        <w:spacing w:afterLines="50" w:after="120"/>
        <w:ind w:leftChars="0"/>
        <w:jc w:val="both"/>
        <w:rPr>
          <w:rFonts w:eastAsiaTheme="minorEastAsia"/>
          <w:i/>
          <w:sz w:val="22"/>
        </w:rPr>
      </w:pPr>
      <w:r w:rsidRPr="00096DC7">
        <w:rPr>
          <w:rFonts w:eastAsiaTheme="minorEastAsia" w:hint="eastAsia"/>
          <w:i/>
          <w:sz w:val="22"/>
        </w:rPr>
        <w:t>S</w:t>
      </w:r>
      <w:r w:rsidRPr="00096DC7">
        <w:rPr>
          <w:rFonts w:eastAsiaTheme="minorEastAsia"/>
          <w:i/>
          <w:sz w:val="22"/>
        </w:rPr>
        <w:t>upport BD/CCE limit for CA with different numerologies between scheduling cell and scheduled cell(s) with keeping the current framework of BD/CCE limit for CA.</w:t>
      </w:r>
    </w:p>
    <w:p w14:paraId="2D3018A5" w14:textId="77777777" w:rsidR="008D360C" w:rsidRPr="00096DC7" w:rsidRDefault="008D360C" w:rsidP="008D360C">
      <w:pPr>
        <w:pStyle w:val="afe"/>
        <w:numPr>
          <w:ilvl w:val="0"/>
          <w:numId w:val="26"/>
        </w:numPr>
        <w:spacing w:afterLines="50" w:after="120"/>
        <w:ind w:leftChars="0"/>
        <w:jc w:val="both"/>
        <w:rPr>
          <w:rFonts w:eastAsiaTheme="minorEastAsia"/>
          <w:i/>
          <w:sz w:val="22"/>
        </w:rPr>
      </w:pPr>
      <w:r w:rsidRPr="00096DC7">
        <w:rPr>
          <w:rFonts w:eastAsiaTheme="minorEastAsia" w:hint="eastAsia"/>
          <w:i/>
          <w:sz w:val="22"/>
        </w:rPr>
        <w:t>C</w:t>
      </w:r>
      <w:r w:rsidRPr="00096DC7">
        <w:rPr>
          <w:rFonts w:eastAsiaTheme="minorEastAsia"/>
          <w:i/>
          <w:sz w:val="22"/>
        </w:rPr>
        <w:t xml:space="preserve">hange the definition of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oMath>
      <w:r w:rsidRPr="00096DC7">
        <w:rPr>
          <w:rFonts w:eastAsiaTheme="minorEastAsia" w:hint="eastAsia"/>
          <w:i/>
          <w:sz w:val="22"/>
        </w:rPr>
        <w:t xml:space="preserve"> </w:t>
      </w:r>
      <w:r w:rsidRPr="00096DC7">
        <w:rPr>
          <w:rFonts w:eastAsiaTheme="minorEastAsia"/>
          <w:i/>
          <w:sz w:val="22"/>
        </w:rPr>
        <w:t xml:space="preserve">to “the number of configured DL-CCs </w:t>
      </w:r>
      <w:r>
        <w:rPr>
          <w:rFonts w:eastAsiaTheme="minorEastAsia"/>
          <w:i/>
          <w:sz w:val="22"/>
        </w:rPr>
        <w:t xml:space="preserve">whose </w:t>
      </w:r>
      <w:r w:rsidRPr="00096DC7">
        <w:rPr>
          <w:rFonts w:eastAsiaTheme="minorEastAsia"/>
          <w:i/>
          <w:sz w:val="22"/>
        </w:rPr>
        <w:t xml:space="preserve">scheduling cell </w:t>
      </w:r>
      <w:r>
        <w:rPr>
          <w:rFonts w:eastAsiaTheme="minorEastAsia"/>
          <w:i/>
          <w:sz w:val="22"/>
        </w:rPr>
        <w:t xml:space="preserve">is </w:t>
      </w:r>
      <w:r w:rsidRPr="00096DC7">
        <w:rPr>
          <w:rFonts w:eastAsiaTheme="minorEastAsia"/>
          <w:i/>
          <w:sz w:val="22"/>
        </w:rPr>
        <w:t xml:space="preserve">with DL BWPs having SCS </w:t>
      </w:r>
      <w:proofErr w:type="gramStart"/>
      <w:r w:rsidRPr="00096DC7">
        <w:rPr>
          <w:rFonts w:eastAsiaTheme="minorEastAsia"/>
          <w:i/>
          <w:sz w:val="22"/>
        </w:rPr>
        <w:t xml:space="preserve">configuration </w:t>
      </w:r>
      <w:proofErr w:type="gramEnd"/>
      <m:oMath>
        <m:r>
          <w:rPr>
            <w:rFonts w:ascii="Cambria Math" w:eastAsiaTheme="minorEastAsia" w:hAnsi="Cambria Math"/>
            <w:sz w:val="22"/>
          </w:rPr>
          <m:t>μ</m:t>
        </m:r>
      </m:oMath>
      <w:r w:rsidRPr="00096DC7">
        <w:rPr>
          <w:rFonts w:eastAsiaTheme="minorEastAsia"/>
          <w:i/>
          <w:sz w:val="22"/>
        </w:rPr>
        <w:t>”.</w:t>
      </w:r>
    </w:p>
    <w:p w14:paraId="14596C9B" w14:textId="77777777" w:rsidR="004B4F33" w:rsidRPr="004D34AC" w:rsidRDefault="004B4F33" w:rsidP="004B4F33">
      <w:pPr>
        <w:spacing w:afterLines="50" w:after="120"/>
        <w:jc w:val="both"/>
        <w:rPr>
          <w:rFonts w:eastAsiaTheme="minorEastAsia"/>
          <w:b/>
          <w:sz w:val="22"/>
          <w:u w:val="single"/>
        </w:rPr>
      </w:pPr>
      <w:r w:rsidRPr="004D34AC">
        <w:rPr>
          <w:rFonts w:eastAsiaTheme="minorEastAsia" w:hint="eastAsia"/>
          <w:b/>
          <w:sz w:val="22"/>
          <w:u w:val="single"/>
        </w:rPr>
        <w:t>P</w:t>
      </w:r>
      <w:r w:rsidRPr="004D34AC">
        <w:rPr>
          <w:rFonts w:eastAsiaTheme="minorEastAsia"/>
          <w:b/>
          <w:sz w:val="22"/>
          <w:u w:val="single"/>
        </w:rPr>
        <w:t>roposal 2:</w:t>
      </w:r>
    </w:p>
    <w:p w14:paraId="45A83ACB" w14:textId="77777777" w:rsidR="004B4F33" w:rsidRPr="004D34AC" w:rsidRDefault="004B4F33" w:rsidP="004B4F33">
      <w:pPr>
        <w:pStyle w:val="afe"/>
        <w:numPr>
          <w:ilvl w:val="0"/>
          <w:numId w:val="27"/>
        </w:numPr>
        <w:spacing w:afterLines="50" w:after="120"/>
        <w:ind w:leftChars="0"/>
        <w:jc w:val="both"/>
        <w:rPr>
          <w:rFonts w:eastAsiaTheme="minorEastAsia"/>
          <w:i/>
          <w:sz w:val="22"/>
        </w:rPr>
      </w:pPr>
      <w:r w:rsidRPr="004D34AC">
        <w:rPr>
          <w:rFonts w:eastAsiaTheme="minorEastAsia"/>
          <w:i/>
          <w:sz w:val="22"/>
        </w:rPr>
        <w:t>Enable cross-carrier deactivation of SPS/configured grant.</w:t>
      </w:r>
    </w:p>
    <w:p w14:paraId="61E45855" w14:textId="77777777" w:rsidR="004B4F33" w:rsidRPr="004D34AC" w:rsidRDefault="004B4F33" w:rsidP="004B4F33">
      <w:pPr>
        <w:pStyle w:val="afe"/>
        <w:numPr>
          <w:ilvl w:val="1"/>
          <w:numId w:val="27"/>
        </w:numPr>
        <w:spacing w:afterLines="50" w:after="120"/>
        <w:ind w:leftChars="0"/>
        <w:jc w:val="both"/>
        <w:rPr>
          <w:rFonts w:eastAsiaTheme="minorEastAsia"/>
          <w:i/>
          <w:sz w:val="22"/>
        </w:rPr>
      </w:pPr>
      <w:r w:rsidRPr="004D34AC">
        <w:rPr>
          <w:rFonts w:eastAsiaTheme="minorEastAsia" w:hint="eastAsia"/>
          <w:i/>
          <w:sz w:val="22"/>
        </w:rPr>
        <w:t>O</w:t>
      </w:r>
      <w:r w:rsidRPr="004D34AC">
        <w:rPr>
          <w:rFonts w:eastAsiaTheme="minorEastAsia"/>
          <w:i/>
          <w:sz w:val="22"/>
        </w:rPr>
        <w:t>pt.1: Support deactivation of SPS/configured grant by DCI format 0_1/1_1.</w:t>
      </w:r>
    </w:p>
    <w:p w14:paraId="101DA5E0" w14:textId="77777777" w:rsidR="004B4F33" w:rsidRPr="004D34AC" w:rsidRDefault="004B4F33" w:rsidP="004B4F33">
      <w:pPr>
        <w:pStyle w:val="afe"/>
        <w:numPr>
          <w:ilvl w:val="1"/>
          <w:numId w:val="27"/>
        </w:numPr>
        <w:spacing w:afterLines="50" w:after="120"/>
        <w:ind w:leftChars="0"/>
        <w:jc w:val="both"/>
        <w:rPr>
          <w:rFonts w:eastAsiaTheme="minorEastAsia"/>
          <w:i/>
          <w:sz w:val="22"/>
        </w:rPr>
      </w:pPr>
      <w:r w:rsidRPr="004D34AC">
        <w:rPr>
          <w:rFonts w:eastAsiaTheme="minorEastAsia" w:hint="eastAsia"/>
          <w:i/>
          <w:sz w:val="22"/>
        </w:rPr>
        <w:t>O</w:t>
      </w:r>
      <w:r w:rsidRPr="004D34AC">
        <w:rPr>
          <w:rFonts w:eastAsiaTheme="minorEastAsia"/>
          <w:i/>
          <w:sz w:val="22"/>
        </w:rPr>
        <w:t>pt.2: DCI format 0_0/1_0 indicating deactivation of SPS/configured grant on a serving cell deactivates SPS/configured grant on all the scheduled cells.</w:t>
      </w:r>
    </w:p>
    <w:p w14:paraId="5C71328D" w14:textId="77777777" w:rsidR="004B4F33" w:rsidRPr="004D34AC" w:rsidRDefault="004B4F33" w:rsidP="004B4F33">
      <w:pPr>
        <w:pStyle w:val="afe"/>
        <w:numPr>
          <w:ilvl w:val="0"/>
          <w:numId w:val="27"/>
        </w:numPr>
        <w:spacing w:afterLines="50" w:after="120"/>
        <w:ind w:leftChars="0"/>
        <w:jc w:val="both"/>
        <w:rPr>
          <w:rFonts w:eastAsiaTheme="minorEastAsia"/>
          <w:i/>
          <w:sz w:val="22"/>
        </w:rPr>
      </w:pPr>
      <w:r w:rsidRPr="004D34AC">
        <w:rPr>
          <w:rFonts w:eastAsiaTheme="minorEastAsia" w:hint="eastAsia"/>
          <w:i/>
          <w:sz w:val="22"/>
        </w:rPr>
        <w:t>C</w:t>
      </w:r>
      <w:r w:rsidRPr="004D34AC">
        <w:rPr>
          <w:rFonts w:eastAsiaTheme="minorEastAsia"/>
          <w:i/>
          <w:sz w:val="22"/>
        </w:rPr>
        <w:t>onsider to resolve restrictive aspects of cross-carrier scheduling with different numerologies.</w:t>
      </w:r>
    </w:p>
    <w:p w14:paraId="7DAD438E" w14:textId="77777777" w:rsidR="004B4F33" w:rsidRPr="004D34AC" w:rsidRDefault="004B4F33" w:rsidP="004B4F33">
      <w:pPr>
        <w:pStyle w:val="afe"/>
        <w:numPr>
          <w:ilvl w:val="1"/>
          <w:numId w:val="27"/>
        </w:numPr>
        <w:spacing w:afterLines="50" w:after="120"/>
        <w:ind w:leftChars="0"/>
        <w:jc w:val="both"/>
        <w:rPr>
          <w:rFonts w:eastAsiaTheme="minorEastAsia"/>
          <w:i/>
          <w:sz w:val="22"/>
        </w:rPr>
      </w:pPr>
      <w:r w:rsidRPr="004D34AC">
        <w:rPr>
          <w:rFonts w:eastAsiaTheme="minorEastAsia"/>
          <w:i/>
          <w:sz w:val="22"/>
        </w:rPr>
        <w:t xml:space="preserve">E.g., consider to enable cross-carrier scheduling without </w:t>
      </w:r>
      <w:proofErr w:type="spellStart"/>
      <w:r w:rsidRPr="004D34AC">
        <w:rPr>
          <w:rFonts w:eastAsiaTheme="minorEastAsia"/>
          <w:i/>
          <w:sz w:val="22"/>
        </w:rPr>
        <w:t>tci-PresentInDCI</w:t>
      </w:r>
      <w:proofErr w:type="spellEnd"/>
      <w:r w:rsidRPr="004D34AC">
        <w:rPr>
          <w:rFonts w:eastAsiaTheme="minorEastAsia"/>
          <w:i/>
          <w:sz w:val="22"/>
        </w:rPr>
        <w:t>.</w:t>
      </w:r>
    </w:p>
    <w:p w14:paraId="667C13DB" w14:textId="77777777" w:rsidR="008D360C" w:rsidRPr="004B4F33" w:rsidRDefault="008D360C"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AFC131A" w14:textId="0E77A5A3" w:rsidR="00261AAE" w:rsidRPr="008D360C" w:rsidRDefault="003F1432" w:rsidP="008D360C">
      <w:pPr>
        <w:pStyle w:val="afe"/>
        <w:numPr>
          <w:ilvl w:val="0"/>
          <w:numId w:val="4"/>
        </w:numPr>
        <w:spacing w:afterLines="50" w:after="120"/>
        <w:ind w:leftChars="0"/>
        <w:jc w:val="both"/>
        <w:rPr>
          <w:rFonts w:eastAsia="SimSun"/>
          <w:sz w:val="22"/>
          <w:lang w:val="en-US" w:eastAsia="zh-CN"/>
        </w:rPr>
      </w:pPr>
      <w:r>
        <w:rPr>
          <w:rFonts w:eastAsiaTheme="minorEastAsia" w:hint="eastAsia"/>
          <w:sz w:val="22"/>
          <w:lang w:val="en-US"/>
        </w:rPr>
        <w:t>3GPP RAN1 #AH1901 Chairman</w:t>
      </w:r>
      <w:r>
        <w:rPr>
          <w:rFonts w:eastAsiaTheme="minorEastAsia"/>
          <w:sz w:val="22"/>
          <w:lang w:val="en-US"/>
        </w:rPr>
        <w:t>’</w:t>
      </w:r>
      <w:r>
        <w:rPr>
          <w:rFonts w:eastAsiaTheme="minorEastAsia" w:hint="eastAsia"/>
          <w:sz w:val="22"/>
          <w:lang w:val="en-US"/>
        </w:rPr>
        <w:t>s note.</w:t>
      </w:r>
    </w:p>
    <w:p w14:paraId="4177A416" w14:textId="5D093EC8" w:rsidR="00B1461C" w:rsidRPr="003F1432" w:rsidRDefault="00B1461C" w:rsidP="00B1461C">
      <w:pPr>
        <w:widowControl w:val="0"/>
        <w:spacing w:after="120"/>
        <w:jc w:val="both"/>
        <w:rPr>
          <w:sz w:val="22"/>
          <w:szCs w:val="22"/>
          <w:lang w:val="en-US"/>
        </w:rPr>
      </w:pPr>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43031" w14:textId="77777777" w:rsidR="00AF1A46" w:rsidRDefault="00AF1A46">
      <w:r>
        <w:separator/>
      </w:r>
    </w:p>
  </w:endnote>
  <w:endnote w:type="continuationSeparator" w:id="0">
    <w:p w14:paraId="556564B9" w14:textId="77777777" w:rsidR="00AF1A46" w:rsidRDefault="00AF1A46">
      <w:r>
        <w:continuationSeparator/>
      </w:r>
    </w:p>
  </w:endnote>
  <w:endnote w:type="continuationNotice" w:id="1">
    <w:p w14:paraId="03387B96" w14:textId="77777777" w:rsidR="00AF1A46" w:rsidRDefault="00AF1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A943AC4" w:rsidR="00F51B63" w:rsidRPr="00000924" w:rsidRDefault="00F51B6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02815">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02815">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63E7D" w14:textId="77777777" w:rsidR="00AF1A46" w:rsidRDefault="00AF1A46">
      <w:r>
        <w:separator/>
      </w:r>
    </w:p>
  </w:footnote>
  <w:footnote w:type="continuationSeparator" w:id="0">
    <w:p w14:paraId="5B866571" w14:textId="77777777" w:rsidR="00AF1A46" w:rsidRDefault="00AF1A46">
      <w:r>
        <w:continuationSeparator/>
      </w:r>
    </w:p>
  </w:footnote>
  <w:footnote w:type="continuationNotice" w:id="1">
    <w:p w14:paraId="55617C7A" w14:textId="77777777" w:rsidR="00AF1A46" w:rsidRDefault="00AF1A4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9"/>
  </w:num>
  <w:num w:numId="4">
    <w:abstractNumId w:val="5"/>
  </w:num>
  <w:num w:numId="5">
    <w:abstractNumId w:val="26"/>
  </w:num>
  <w:num w:numId="6">
    <w:abstractNumId w:val="18"/>
  </w:num>
  <w:num w:numId="7">
    <w:abstractNumId w:val="23"/>
  </w:num>
  <w:num w:numId="8">
    <w:abstractNumId w:val="8"/>
  </w:num>
  <w:num w:numId="9">
    <w:abstractNumId w:val="4"/>
  </w:num>
  <w:num w:numId="10">
    <w:abstractNumId w:val="25"/>
  </w:num>
  <w:num w:numId="11">
    <w:abstractNumId w:val="10"/>
  </w:num>
  <w:num w:numId="12">
    <w:abstractNumId w:val="2"/>
  </w:num>
  <w:num w:numId="13">
    <w:abstractNumId w:val="24"/>
  </w:num>
  <w:num w:numId="14">
    <w:abstractNumId w:val="21"/>
  </w:num>
  <w:num w:numId="15">
    <w:abstractNumId w:val="16"/>
  </w:num>
  <w:num w:numId="16">
    <w:abstractNumId w:val="19"/>
  </w:num>
  <w:num w:numId="17">
    <w:abstractNumId w:val="1"/>
  </w:num>
  <w:num w:numId="18">
    <w:abstractNumId w:val="11"/>
  </w:num>
  <w:num w:numId="19">
    <w:abstractNumId w:val="20"/>
  </w:num>
  <w:num w:numId="20">
    <w:abstractNumId w:val="12"/>
  </w:num>
  <w:num w:numId="21">
    <w:abstractNumId w:val="6"/>
  </w:num>
  <w:num w:numId="22">
    <w:abstractNumId w:val="28"/>
  </w:num>
  <w:num w:numId="23">
    <w:abstractNumId w:val="17"/>
  </w:num>
  <w:num w:numId="24">
    <w:abstractNumId w:val="27"/>
  </w:num>
  <w:num w:numId="25">
    <w:abstractNumId w:val="7"/>
  </w:num>
  <w:num w:numId="26">
    <w:abstractNumId w:val="3"/>
  </w:num>
  <w:num w:numId="27">
    <w:abstractNumId w:val="29"/>
  </w:num>
  <w:num w:numId="28">
    <w:abstractNumId w:val="14"/>
  </w:num>
  <w:num w:numId="29">
    <w:abstractNumId w:val="13"/>
  </w:num>
  <w:num w:numId="3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ED8"/>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B59"/>
    <w:rsid w:val="00846DD0"/>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5DB4"/>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360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1ED2"/>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75"/>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912"/>
    <w:rsid w:val="00E55A67"/>
    <w:rsid w:val="00E55E30"/>
    <w:rsid w:val="00E5668F"/>
    <w:rsid w:val="00E56829"/>
    <w:rsid w:val="00E56CC7"/>
    <w:rsid w:val="00E56F01"/>
    <w:rsid w:val="00E5776B"/>
    <w:rsid w:val="00E57EE5"/>
    <w:rsid w:val="00E603F7"/>
    <w:rsid w:val="00E60889"/>
    <w:rsid w:val="00E6097B"/>
    <w:rsid w:val="00E609E0"/>
    <w:rsid w:val="00E60C1A"/>
    <w:rsid w:val="00E61BF3"/>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7ACF9-B54C-4486-B81A-DF0B3CA92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7838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2019-02-16T00:22:00Z</dcterms:created>
  <dcterms:modified xsi:type="dcterms:W3CDTF">2019-02-16T00:22:00Z</dcterms:modified>
</cp:coreProperties>
</file>